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E94" w:rsidRPr="00C41002" w:rsidRDefault="00525E94" w:rsidP="00525E94">
      <w:pPr>
        <w:spacing w:line="360" w:lineRule="auto"/>
        <w:jc w:val="center"/>
        <w:rPr>
          <w:rFonts w:ascii="Arial" w:hAnsi="Arial" w:cs="Arial"/>
          <w:b/>
        </w:rPr>
      </w:pPr>
      <w:r w:rsidRPr="00C41002">
        <w:rPr>
          <w:rFonts w:ascii="Arial" w:hAnsi="Arial" w:cs="Arial"/>
          <w:b/>
        </w:rPr>
        <w:t>BAB V</w:t>
      </w:r>
    </w:p>
    <w:p w:rsidR="00525E94" w:rsidRPr="00C41002" w:rsidRDefault="00525E94" w:rsidP="00525E94">
      <w:pPr>
        <w:spacing w:line="360" w:lineRule="auto"/>
        <w:jc w:val="center"/>
        <w:rPr>
          <w:rFonts w:ascii="Arial" w:hAnsi="Arial" w:cs="Arial"/>
          <w:b/>
        </w:rPr>
      </w:pPr>
      <w:r w:rsidRPr="00C41002">
        <w:rPr>
          <w:rFonts w:ascii="Arial" w:hAnsi="Arial" w:cs="Arial"/>
          <w:b/>
        </w:rPr>
        <w:t>HASIL DAN PEMBAHASAN</w:t>
      </w:r>
    </w:p>
    <w:p w:rsidR="00525E94" w:rsidRPr="00C41002" w:rsidRDefault="00525E94" w:rsidP="00525E94">
      <w:pPr>
        <w:pStyle w:val="ListParagraph"/>
        <w:numPr>
          <w:ilvl w:val="0"/>
          <w:numId w:val="1"/>
        </w:numPr>
        <w:spacing w:line="360" w:lineRule="auto"/>
        <w:rPr>
          <w:rFonts w:ascii="Arial" w:hAnsi="Arial" w:cs="Arial"/>
        </w:rPr>
      </w:pPr>
      <w:r w:rsidRPr="00C41002">
        <w:rPr>
          <w:rFonts w:ascii="Arial" w:hAnsi="Arial" w:cs="Arial"/>
        </w:rPr>
        <w:t>Gambaran Umum Jajanan Kue Tok dan Kue Mutiara</w:t>
      </w:r>
    </w:p>
    <w:p w:rsidR="00525E94" w:rsidRDefault="00525E94" w:rsidP="00525E94">
      <w:pPr>
        <w:pStyle w:val="ListParagraph"/>
        <w:spacing w:line="360" w:lineRule="auto"/>
        <w:ind w:firstLine="720"/>
        <w:jc w:val="both"/>
        <w:rPr>
          <w:rFonts w:ascii="Arial" w:hAnsi="Arial" w:cs="Arial"/>
        </w:rPr>
      </w:pPr>
      <w:r w:rsidRPr="00C41002">
        <w:rPr>
          <w:rFonts w:ascii="Arial" w:hAnsi="Arial" w:cs="Arial"/>
        </w:rPr>
        <w:t xml:space="preserve">Jajanan adalah makanan yang banyak ditemukan dipinggir jalan dan di jajakan dalam berbagai bentuk, warna, rasa serta ukuran sehingga menarik minat dan perhatian orang untuk </w:t>
      </w:r>
      <w:r>
        <w:rPr>
          <w:rFonts w:ascii="Arial" w:hAnsi="Arial" w:cs="Arial"/>
        </w:rPr>
        <w:t>membelinya (Irianto, 2007) sedangkan jajanan tradisional adalah makanan yang dibuat secara tradisional yang diolah berdasarkan resep dari nenek moyang yang terus menerus digunakan secara turun temurun dan dikonsumsi tempat tertentu  dengan menggunakan bahan dari hasil daerah setempat (Indraswati, 2016).</w:t>
      </w:r>
    </w:p>
    <w:p w:rsidR="00525E94" w:rsidRDefault="00525E94" w:rsidP="00525E94">
      <w:pPr>
        <w:pStyle w:val="ListParagraph"/>
        <w:spacing w:line="360" w:lineRule="auto"/>
        <w:ind w:firstLine="720"/>
        <w:jc w:val="both"/>
        <w:rPr>
          <w:rFonts w:ascii="Arial" w:hAnsi="Arial" w:cs="Arial"/>
        </w:rPr>
      </w:pPr>
      <w:r w:rsidRPr="00C41002">
        <w:rPr>
          <w:rFonts w:ascii="Arial" w:hAnsi="Arial" w:cs="Arial"/>
        </w:rPr>
        <w:t>Kue tok dan kue mutiara adalah contoh dari j</w:t>
      </w:r>
      <w:r>
        <w:rPr>
          <w:rFonts w:ascii="Arial" w:hAnsi="Arial" w:cs="Arial"/>
        </w:rPr>
        <w:t>ajanan pasar yang banyak dijual</w:t>
      </w:r>
      <w:r w:rsidRPr="00C41002">
        <w:rPr>
          <w:rFonts w:ascii="Arial" w:hAnsi="Arial" w:cs="Arial"/>
        </w:rPr>
        <w:t xml:space="preserve"> di masyarakat, kue ini sangat diminati oleh konsumen karena harganya yang terjangkau dan rasanya juga enak apalagi dengan warna ya</w:t>
      </w:r>
      <w:r>
        <w:rPr>
          <w:rFonts w:ascii="Arial" w:hAnsi="Arial" w:cs="Arial"/>
        </w:rPr>
        <w:t xml:space="preserve">ng menarik </w:t>
      </w:r>
      <w:r w:rsidRPr="00C41002">
        <w:rPr>
          <w:rFonts w:ascii="Arial" w:hAnsi="Arial" w:cs="Arial"/>
        </w:rPr>
        <w:t>membuat konsumen tertarik untuk membeli jajanan ini</w:t>
      </w:r>
      <w:r>
        <w:rPr>
          <w:rFonts w:ascii="Arial" w:hAnsi="Arial" w:cs="Arial"/>
        </w:rPr>
        <w:t>, kue tok dan kue mutiara merupakan kue yang mudah ditemukan di pasaran karena kue ini merupakan kue tradisional yang rasanya enak dengan harga terjangkau</w:t>
      </w:r>
      <w:r w:rsidRPr="00C41002">
        <w:rPr>
          <w:rFonts w:ascii="Arial" w:hAnsi="Arial" w:cs="Arial"/>
        </w:rPr>
        <w:t>.</w:t>
      </w:r>
      <w:r>
        <w:rPr>
          <w:rFonts w:ascii="Arial" w:hAnsi="Arial" w:cs="Arial"/>
        </w:rPr>
        <w:t xml:space="preserve"> Kue tok dengan isian kacang hijau dapat memberikan asupan protein kepada pembeli sedangkan kue mutiara dapat menjadi sumber karbohidrat karena sebagian besar bahannya menggunakan tepung.</w:t>
      </w:r>
      <w:r w:rsidRPr="00C41002">
        <w:rPr>
          <w:rFonts w:ascii="Arial" w:hAnsi="Arial" w:cs="Arial"/>
        </w:rPr>
        <w:t xml:space="preserve"> </w:t>
      </w:r>
      <w:r>
        <w:rPr>
          <w:rFonts w:ascii="Arial" w:hAnsi="Arial" w:cs="Arial"/>
        </w:rPr>
        <w:t>Hal ini sesuai dengan syarat makanan yang baik menurut Depkes dalam lampiran SK No.03726/B/SK/VII/89 yang menyebutkan bahwa makanan harus enak rasanya dan memenuhi gizi ang cukup. Kue  tok dan kue mutiara biasa</w:t>
      </w:r>
      <w:r w:rsidRPr="00C41002">
        <w:rPr>
          <w:rFonts w:ascii="Arial" w:hAnsi="Arial" w:cs="Arial"/>
        </w:rPr>
        <w:t xml:space="preserve"> dijual dipasaran dengan kisaran harga antara Rp. 1000 hingga Rp. 2000 dengan harga yang terjangkau membuat kue ini akan terjual habis dalam waktu </w:t>
      </w:r>
      <w:r>
        <w:rPr>
          <w:rFonts w:ascii="Arial" w:hAnsi="Arial" w:cs="Arial"/>
        </w:rPr>
        <w:t xml:space="preserve">yang relatif </w:t>
      </w:r>
      <w:r w:rsidRPr="00C41002">
        <w:rPr>
          <w:rFonts w:ascii="Arial" w:hAnsi="Arial" w:cs="Arial"/>
        </w:rPr>
        <w:t xml:space="preserve">singkat. </w:t>
      </w:r>
    </w:p>
    <w:p w:rsidR="00525E94" w:rsidRDefault="00525E94" w:rsidP="00525E94">
      <w:pPr>
        <w:pStyle w:val="ListParagraph"/>
        <w:spacing w:line="360" w:lineRule="auto"/>
        <w:ind w:firstLine="720"/>
        <w:jc w:val="both"/>
        <w:rPr>
          <w:rFonts w:ascii="Arial" w:hAnsi="Arial" w:cs="Arial"/>
        </w:rPr>
      </w:pPr>
      <w:r w:rsidRPr="00C41002">
        <w:rPr>
          <w:rFonts w:ascii="Arial" w:hAnsi="Arial" w:cs="Arial"/>
        </w:rPr>
        <w:t>Adapun penelitian dilakukan pada beberapa sampel jajanan pasar yaitu kue tok dan kue mutiara yang dijual di pasar daerah Kota Malang berikut merupakan pasar tradisional tempat membeli sampel yaitu pasar Blimbing, pasar Mergan, pasar Kebalen,</w:t>
      </w:r>
      <w:r>
        <w:rPr>
          <w:rFonts w:ascii="Arial" w:hAnsi="Arial" w:cs="Arial"/>
        </w:rPr>
        <w:t xml:space="preserve"> pasar Kasin, dan pasar Besar. </w:t>
      </w:r>
    </w:p>
    <w:p w:rsidR="00525E94" w:rsidRDefault="00525E94" w:rsidP="00525E94">
      <w:pPr>
        <w:pStyle w:val="ListParagraph"/>
        <w:spacing w:line="360" w:lineRule="auto"/>
        <w:ind w:firstLine="720"/>
        <w:jc w:val="both"/>
        <w:rPr>
          <w:rFonts w:ascii="Arial" w:hAnsi="Arial" w:cs="Arial"/>
        </w:rPr>
      </w:pPr>
    </w:p>
    <w:p w:rsidR="00525E94" w:rsidRDefault="00525E94" w:rsidP="00525E94">
      <w:pPr>
        <w:pStyle w:val="ListParagraph"/>
        <w:spacing w:line="360" w:lineRule="auto"/>
        <w:ind w:firstLine="720"/>
        <w:jc w:val="both"/>
        <w:rPr>
          <w:rFonts w:ascii="Arial" w:hAnsi="Arial" w:cs="Arial"/>
        </w:rPr>
      </w:pPr>
    </w:p>
    <w:p w:rsidR="00525E94" w:rsidRDefault="00525E94" w:rsidP="00525E94">
      <w:pPr>
        <w:pStyle w:val="ListParagraph"/>
        <w:spacing w:line="360" w:lineRule="auto"/>
        <w:ind w:firstLine="720"/>
        <w:jc w:val="both"/>
        <w:rPr>
          <w:rFonts w:ascii="Arial" w:hAnsi="Arial" w:cs="Arial"/>
        </w:rPr>
      </w:pPr>
      <w:r>
        <w:rPr>
          <w:rFonts w:ascii="Arial" w:hAnsi="Arial" w:cs="Arial"/>
        </w:rPr>
        <w:t>Berikut merupakan gambar sampel jajanan yang diambil di Pasar tradisional :</w:t>
      </w:r>
    </w:p>
    <w:tbl>
      <w:tblPr>
        <w:tblStyle w:val="TableGrid"/>
        <w:tblW w:w="0" w:type="auto"/>
        <w:tblInd w:w="279" w:type="dxa"/>
        <w:tblLook w:val="04A0" w:firstRow="1" w:lastRow="0" w:firstColumn="1" w:lastColumn="0" w:noHBand="0" w:noVBand="1"/>
      </w:tblPr>
      <w:tblGrid>
        <w:gridCol w:w="1222"/>
        <w:gridCol w:w="2175"/>
        <w:gridCol w:w="2175"/>
        <w:gridCol w:w="2458"/>
      </w:tblGrid>
      <w:tr w:rsidR="00525E94" w:rsidTr="00E16B44">
        <w:tc>
          <w:tcPr>
            <w:tcW w:w="1222" w:type="dxa"/>
            <w:vAlign w:val="center"/>
          </w:tcPr>
          <w:p w:rsidR="00525E94" w:rsidRDefault="00525E94" w:rsidP="00E16B44">
            <w:pPr>
              <w:pStyle w:val="ListParagraph"/>
              <w:spacing w:line="360" w:lineRule="auto"/>
              <w:ind w:left="0"/>
              <w:jc w:val="center"/>
              <w:rPr>
                <w:rFonts w:ascii="Arial" w:hAnsi="Arial" w:cs="Arial"/>
              </w:rPr>
            </w:pPr>
            <w:r>
              <w:rPr>
                <w:rFonts w:ascii="Arial" w:hAnsi="Arial" w:cs="Arial"/>
              </w:rPr>
              <w:lastRenderedPageBreak/>
              <w:t>Kue Tok</w:t>
            </w:r>
          </w:p>
        </w:tc>
        <w:tc>
          <w:tcPr>
            <w:tcW w:w="2142" w:type="dxa"/>
          </w:tcPr>
          <w:p w:rsidR="00525E94" w:rsidRDefault="00525E94" w:rsidP="00E16B44">
            <w:pPr>
              <w:pStyle w:val="ListParagraph"/>
              <w:spacing w:line="360" w:lineRule="auto"/>
              <w:ind w:left="0"/>
              <w:jc w:val="both"/>
              <w:rPr>
                <w:rFonts w:ascii="Arial" w:hAnsi="Arial" w:cs="Arial"/>
              </w:rP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397510</wp:posOffset>
                      </wp:positionH>
                      <wp:positionV relativeFrom="paragraph">
                        <wp:posOffset>1316990</wp:posOffset>
                      </wp:positionV>
                      <wp:extent cx="284480" cy="3086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30861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25E94" w:rsidRPr="00E940A6" w:rsidRDefault="00525E94" w:rsidP="00525E94">
                                  <w:pPr>
                                    <w:rPr>
                                      <w:b/>
                                      <w:color w:val="000000" w:themeColor="text1"/>
                                      <w:sz w:val="28"/>
                                    </w:rPr>
                                  </w:pPr>
                                  <w:r w:rsidRPr="00E940A6">
                                    <w:rPr>
                                      <w:b/>
                                      <w:color w:val="000000" w:themeColor="text1"/>
                                      <w:sz w:val="2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left:0;text-align:left;margin-left:31.3pt;margin-top:103.7pt;width:22.4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" filled="f" stroked="f" strokeweight="1pt">
                      <v:path arrowok="t"/>
                      <v:textbox>
                        <w:txbxContent>
                          <w:p w:rsidR="00525E94" w:rsidRPr="00E940A6" w:rsidRDefault="00525E94" w:rsidP="00525E94">
                            <w:pPr>
                              <w:rPr>
                                <w:b/>
                                <w:color w:val="000000" w:themeColor="text1"/>
                                <w:sz w:val="28"/>
                              </w:rPr>
                            </w:pPr>
                            <w:r w:rsidRPr="00E940A6">
                              <w:rPr>
                                <w:b/>
                                <w:color w:val="000000" w:themeColor="text1"/>
                                <w:sz w:val="28"/>
                              </w:rPr>
                              <w:t>A</w:t>
                            </w:r>
                          </w:p>
                        </w:txbxContent>
                      </v:textbox>
                    </v:rect>
                  </w:pict>
                </mc:Fallback>
              </mc:AlternateContent>
            </w:r>
            <w:r w:rsidRPr="006B4F3B">
              <w:rPr>
                <w:noProof/>
                <w:lang w:eastAsia="id-ID"/>
              </w:rPr>
              <w:drawing>
                <wp:inline distT="0" distB="0" distL="0" distR="0" wp14:anchorId="6045ABB2" wp14:editId="6BD8B10A">
                  <wp:extent cx="1243965" cy="2026145"/>
                  <wp:effectExtent l="0" t="0" r="0" b="0"/>
                  <wp:docPr id="49" name="Picture 49" descr="D:\DILA\TUGAS KULIAH\SEMESTER 5\KTI\whatsapp penting\IMG-20180516-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DILA\TUGAS KULIAH\SEMESTER 5\KTI\whatsapp penting\IMG-20180516-WA0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246574" cy="2030394"/>
                          </a:xfrm>
                          <a:prstGeom prst="rect">
                            <a:avLst/>
                          </a:prstGeom>
                          <a:noFill/>
                          <a:ln>
                            <a:noFill/>
                          </a:ln>
                        </pic:spPr>
                      </pic:pic>
                    </a:graphicData>
                  </a:graphic>
                </wp:inline>
              </w:drawing>
            </w:r>
          </w:p>
        </w:tc>
        <w:tc>
          <w:tcPr>
            <w:tcW w:w="2142" w:type="dxa"/>
          </w:tcPr>
          <w:p w:rsidR="00525E94" w:rsidRDefault="00525E94" w:rsidP="00E16B44">
            <w:pPr>
              <w:pStyle w:val="ListParagraph"/>
              <w:spacing w:line="360" w:lineRule="auto"/>
              <w:ind w:left="0"/>
              <w:jc w:val="both"/>
              <w:rPr>
                <w:rFonts w:ascii="Arial" w:hAnsi="Arial" w:cs="Arial"/>
              </w:rPr>
            </w:pPr>
            <w:r>
              <w:rPr>
                <w:noProof/>
                <w:lang w:eastAsia="id-ID"/>
              </w:rPr>
              <w:drawing>
                <wp:inline distT="0" distB="0" distL="0" distR="0" wp14:anchorId="730CC39E" wp14:editId="4BB96F52">
                  <wp:extent cx="1244404" cy="2026800"/>
                  <wp:effectExtent l="0" t="0" r="0" b="0"/>
                  <wp:docPr id="59" name="Picture 59" descr="C:\Users\TOSHIBA\AppData\Local\Microsoft\Windows\INetCache\Content.Word\IMG_20180524_103346_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SHIBA\AppData\Local\Microsoft\Windows\INetCache\Content.Word\IMG_20180524_103346_5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404" cy="2026800"/>
                          </a:xfrm>
                          <a:prstGeom prst="rect">
                            <a:avLst/>
                          </a:prstGeom>
                          <a:noFill/>
                          <a:ln>
                            <a:noFill/>
                          </a:ln>
                        </pic:spPr>
                      </pic:pic>
                    </a:graphicData>
                  </a:graphic>
                </wp:inline>
              </w:drawing>
            </w:r>
          </w:p>
        </w:tc>
        <w:tc>
          <w:tcPr>
            <w:tcW w:w="2142" w:type="dxa"/>
          </w:tcPr>
          <w:p w:rsidR="00525E94" w:rsidRDefault="00525E94" w:rsidP="00E16B44">
            <w:pPr>
              <w:pStyle w:val="ListParagraph"/>
              <w:spacing w:line="360" w:lineRule="auto"/>
              <w:ind w:left="0"/>
              <w:jc w:val="both"/>
              <w:rPr>
                <w:noProof/>
                <w:lang w:eastAsia="id-ID"/>
              </w:rPr>
            </w:pPr>
            <w:r>
              <w:rPr>
                <w:noProof/>
                <w:lang w:eastAsia="id-ID"/>
              </w:rPr>
              <w:drawing>
                <wp:anchor distT="0" distB="0" distL="114300" distR="114300" simplePos="0" relativeHeight="251660288" behindDoc="0" locked="0" layoutInCell="1" allowOverlap="1" wp14:anchorId="23F07E6C" wp14:editId="5C2EC2B5">
                  <wp:simplePos x="0" y="0"/>
                  <wp:positionH relativeFrom="column">
                    <wp:posOffset>605302</wp:posOffset>
                  </wp:positionH>
                  <wp:positionV relativeFrom="paragraph">
                    <wp:posOffset>1436868</wp:posOffset>
                  </wp:positionV>
                  <wp:extent cx="316202" cy="344969"/>
                  <wp:effectExtent l="0" t="0" r="0" b="0"/>
                  <wp:wrapNone/>
                  <wp:docPr id="60" name="Picture 60" descr="C:\Users\TOSHIBA\AppData\Local\Microsoft\Windows\INetCache\Content.Word\IMG_20180524_102926_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SHIBA\AppData\Local\Microsoft\Windows\INetCache\Content.Word\IMG_20180524_102926_35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543" t="67256" r="31977" b="12333"/>
                          <a:stretch/>
                        </pic:blipFill>
                        <pic:spPr bwMode="auto">
                          <a:xfrm>
                            <a:off x="0" y="0"/>
                            <a:ext cx="316202" cy="3449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3AC1">
              <w:rPr>
                <w:noProof/>
                <w:lang w:eastAsia="id-ID"/>
              </w:rPr>
              <w:drawing>
                <wp:inline distT="0" distB="0" distL="0" distR="0" wp14:anchorId="08F092EB" wp14:editId="1040E9D6">
                  <wp:extent cx="1423670" cy="2026285"/>
                  <wp:effectExtent l="0" t="0" r="0" b="0"/>
                  <wp:docPr id="2" name="Picture 2" descr="D:\DILA\pindahan 2018\IMG_20180912_07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LA\pindahan 2018\IMG_20180912_0704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426211" cy="2029901"/>
                          </a:xfrm>
                          <a:prstGeom prst="rect">
                            <a:avLst/>
                          </a:prstGeom>
                          <a:noFill/>
                          <a:ln>
                            <a:noFill/>
                          </a:ln>
                        </pic:spPr>
                      </pic:pic>
                    </a:graphicData>
                  </a:graphic>
                </wp:inline>
              </w:drawing>
            </w:r>
          </w:p>
          <w:p w:rsidR="00525E94" w:rsidRDefault="00525E94" w:rsidP="00E16B44">
            <w:pPr>
              <w:pStyle w:val="ListParagraph"/>
              <w:spacing w:line="360" w:lineRule="auto"/>
              <w:ind w:left="0"/>
              <w:jc w:val="both"/>
              <w:rPr>
                <w:rFonts w:ascii="Arial" w:hAnsi="Arial" w:cs="Arial"/>
              </w:rPr>
            </w:pPr>
          </w:p>
        </w:tc>
      </w:tr>
      <w:tr w:rsidR="00525E94" w:rsidTr="00E16B44">
        <w:tc>
          <w:tcPr>
            <w:tcW w:w="1222" w:type="dxa"/>
            <w:vAlign w:val="center"/>
          </w:tcPr>
          <w:p w:rsidR="00525E94" w:rsidRDefault="00525E94" w:rsidP="00E16B44">
            <w:pPr>
              <w:pStyle w:val="ListParagraph"/>
              <w:spacing w:line="360" w:lineRule="auto"/>
              <w:ind w:left="0"/>
              <w:jc w:val="center"/>
              <w:rPr>
                <w:rFonts w:ascii="Arial" w:hAnsi="Arial" w:cs="Arial"/>
              </w:rPr>
            </w:pPr>
            <w:r>
              <w:rPr>
                <w:rFonts w:ascii="Arial" w:hAnsi="Arial" w:cs="Arial"/>
              </w:rPr>
              <w:t>Kue Mutiara</w:t>
            </w:r>
          </w:p>
        </w:tc>
        <w:tc>
          <w:tcPr>
            <w:tcW w:w="2142" w:type="dxa"/>
          </w:tcPr>
          <w:p w:rsidR="00525E94" w:rsidRDefault="00525E94" w:rsidP="00E16B44">
            <w:pPr>
              <w:pStyle w:val="ListParagraph"/>
              <w:spacing w:line="360" w:lineRule="auto"/>
              <w:ind w:left="0"/>
              <w:jc w:val="both"/>
              <w:rPr>
                <w:rFonts w:ascii="Arial" w:hAnsi="Arial" w:cs="Arial"/>
              </w:rPr>
            </w:pPr>
            <w:r>
              <w:rPr>
                <w:rFonts w:ascii="Arial" w:hAnsi="Arial" w:cs="Arial"/>
                <w:noProof/>
                <w:lang w:eastAsia="id-ID"/>
              </w:rPr>
              <w:drawing>
                <wp:inline distT="0" distB="0" distL="0" distR="0" wp14:anchorId="25576D84" wp14:editId="26113254">
                  <wp:extent cx="1243965" cy="20300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2030095"/>
                          </a:xfrm>
                          <a:prstGeom prst="rect">
                            <a:avLst/>
                          </a:prstGeom>
                          <a:noFill/>
                        </pic:spPr>
                      </pic:pic>
                    </a:graphicData>
                  </a:graphic>
                </wp:inline>
              </w:drawing>
            </w:r>
          </w:p>
        </w:tc>
        <w:tc>
          <w:tcPr>
            <w:tcW w:w="2142" w:type="dxa"/>
          </w:tcPr>
          <w:p w:rsidR="00525E94" w:rsidRDefault="00525E94" w:rsidP="00E16B44">
            <w:pPr>
              <w:pStyle w:val="ListParagraph"/>
              <w:spacing w:line="360" w:lineRule="auto"/>
              <w:ind w:left="0"/>
              <w:jc w:val="both"/>
              <w:rPr>
                <w:rFonts w:ascii="Arial" w:hAnsi="Arial" w:cs="Arial"/>
              </w:rPr>
            </w:pPr>
            <w:r>
              <w:rPr>
                <w:noProof/>
                <w:lang w:eastAsia="id-ID"/>
              </w:rPr>
              <w:drawing>
                <wp:inline distT="0" distB="0" distL="0" distR="0" wp14:anchorId="7CC47E07" wp14:editId="1923D79E">
                  <wp:extent cx="1244404" cy="2026800"/>
                  <wp:effectExtent l="0" t="0" r="0" b="0"/>
                  <wp:docPr id="65" name="Picture 65" descr="C:\Users\TOSHIBA\AppData\Local\Microsoft\Windows\INetCache\Content.Word\IMG_20180524_103616_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OSHIBA\AppData\Local\Microsoft\Windows\INetCache\Content.Word\IMG_20180524_103616_87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4404" cy="2026800"/>
                          </a:xfrm>
                          <a:prstGeom prst="rect">
                            <a:avLst/>
                          </a:prstGeom>
                          <a:noFill/>
                          <a:ln>
                            <a:noFill/>
                          </a:ln>
                        </pic:spPr>
                      </pic:pic>
                    </a:graphicData>
                  </a:graphic>
                </wp:inline>
              </w:drawing>
            </w:r>
          </w:p>
        </w:tc>
        <w:tc>
          <w:tcPr>
            <w:tcW w:w="2142" w:type="dxa"/>
          </w:tcPr>
          <w:p w:rsidR="00525E94" w:rsidRDefault="00525E94" w:rsidP="00E16B44">
            <w:pPr>
              <w:pStyle w:val="ListParagraph"/>
              <w:spacing w:line="360" w:lineRule="auto"/>
              <w:ind w:left="0"/>
              <w:jc w:val="both"/>
              <w:rPr>
                <w:rFonts w:ascii="Arial" w:hAnsi="Arial" w:cs="Arial"/>
              </w:rPr>
            </w:pPr>
            <w:r>
              <w:rPr>
                <w:noProof/>
                <w:lang w:eastAsia="id-ID"/>
              </w:rPr>
              <w:drawing>
                <wp:inline distT="0" distB="0" distL="0" distR="0" wp14:anchorId="0F1392A8" wp14:editId="7CEDEABA">
                  <wp:extent cx="1244404" cy="2026800"/>
                  <wp:effectExtent l="0" t="0" r="0" b="0"/>
                  <wp:docPr id="66" name="Picture 66" descr="C:\Users\TOSHIBA\AppData\Local\Microsoft\Windows\INetCache\Content.Word\IMG_20180524_103703_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OSHIBA\AppData\Local\Microsoft\Windows\INetCache\Content.Word\IMG_20180524_103703_4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4404" cy="2026800"/>
                          </a:xfrm>
                          <a:prstGeom prst="rect">
                            <a:avLst/>
                          </a:prstGeom>
                          <a:noFill/>
                          <a:ln>
                            <a:noFill/>
                          </a:ln>
                        </pic:spPr>
                      </pic:pic>
                    </a:graphicData>
                  </a:graphic>
                </wp:inline>
              </w:drawing>
            </w:r>
          </w:p>
        </w:tc>
      </w:tr>
    </w:tbl>
    <w:p w:rsidR="00525E94" w:rsidRDefault="00525E94" w:rsidP="00525E94">
      <w:pPr>
        <w:pStyle w:val="ListParagraph"/>
        <w:spacing w:line="360" w:lineRule="auto"/>
        <w:ind w:left="1276" w:firstLine="720"/>
        <w:jc w:val="both"/>
        <w:rPr>
          <w:rFonts w:ascii="Arial" w:hAnsi="Arial" w:cs="Arial"/>
        </w:rPr>
      </w:pPr>
      <w:r>
        <w:rPr>
          <w:rFonts w:ascii="Arial" w:hAnsi="Arial" w:cs="Arial"/>
        </w:rPr>
        <w:t>Gambar 3. Sampel jajanan kue tok dan kue mutiara</w:t>
      </w:r>
    </w:p>
    <w:p w:rsidR="00525E94" w:rsidRDefault="00525E94" w:rsidP="00525E94">
      <w:pPr>
        <w:pStyle w:val="ListParagraph"/>
        <w:spacing w:line="360" w:lineRule="auto"/>
        <w:ind w:left="1276" w:firstLine="720"/>
        <w:jc w:val="both"/>
        <w:rPr>
          <w:rFonts w:ascii="Arial" w:hAnsi="Arial" w:cs="Arial"/>
        </w:rPr>
      </w:pPr>
    </w:p>
    <w:p w:rsidR="00525E94" w:rsidRDefault="00525E94" w:rsidP="00525E94">
      <w:pPr>
        <w:pStyle w:val="ListParagraph"/>
        <w:numPr>
          <w:ilvl w:val="0"/>
          <w:numId w:val="1"/>
        </w:numPr>
        <w:spacing w:line="360" w:lineRule="auto"/>
        <w:jc w:val="both"/>
        <w:rPr>
          <w:rFonts w:ascii="Arial" w:hAnsi="Arial" w:cs="Arial"/>
        </w:rPr>
      </w:pPr>
      <w:r>
        <w:rPr>
          <w:rFonts w:ascii="Arial" w:hAnsi="Arial" w:cs="Arial"/>
        </w:rPr>
        <w:t>Gambaran Umum Lokasi Jajanan</w:t>
      </w:r>
    </w:p>
    <w:p w:rsidR="00525E94" w:rsidRPr="00016EC4" w:rsidRDefault="00525E94" w:rsidP="00525E94">
      <w:pPr>
        <w:spacing w:line="360" w:lineRule="auto"/>
        <w:ind w:left="360" w:firstLine="360"/>
        <w:jc w:val="both"/>
        <w:rPr>
          <w:rFonts w:ascii="Arial" w:hAnsi="Arial" w:cs="Arial"/>
        </w:rPr>
      </w:pPr>
      <w:r w:rsidRPr="00016EC4">
        <w:rPr>
          <w:rFonts w:ascii="Arial" w:hAnsi="Arial" w:cs="Arial"/>
        </w:rPr>
        <w:t>Kue tok merupakan kue yang mudah dijumpai di pasar tradisional, peminat kue tok cukup banyak dapat dilihat dari tersedianya kue tok pada penjual jajanan basah setiap harinya. Penjualan kue tok sangat cepat dari hasil pengamatan yang dilakukan di pasar tradisional kota Malang yaitu pasar Kebalen penjual hanya membutuhkan waktu sampai pukul 7 pagi untuk menjual kue tok dagangannya, di pasar Mergan juga hanya sampai pukul 8 pagi kue tok sudah habis</w:t>
      </w:r>
      <w:r>
        <w:rPr>
          <w:rFonts w:ascii="Arial" w:hAnsi="Arial" w:cs="Arial"/>
        </w:rPr>
        <w:t xml:space="preserve"> terjual dan di pasar Besar</w:t>
      </w:r>
      <w:r w:rsidRPr="00016EC4">
        <w:rPr>
          <w:rFonts w:ascii="Arial" w:hAnsi="Arial" w:cs="Arial"/>
        </w:rPr>
        <w:t xml:space="preserve"> terdapat 2 produsen yang menitipkan dagangan kue tok pada 1 penjual. Kue mutiara juga banyak digemari oleh konsumen selain warna yang me</w:t>
      </w:r>
      <w:r>
        <w:rPr>
          <w:rFonts w:ascii="Arial" w:hAnsi="Arial" w:cs="Arial"/>
        </w:rPr>
        <w:t xml:space="preserve">narik harganya juga terjangkau, dan </w:t>
      </w:r>
      <w:r w:rsidRPr="00016EC4">
        <w:rPr>
          <w:rFonts w:ascii="Arial" w:hAnsi="Arial" w:cs="Arial"/>
        </w:rPr>
        <w:t>kue ini juga mudah ditemui di pasar tradisional</w:t>
      </w:r>
      <w:r>
        <w:rPr>
          <w:rFonts w:ascii="Arial" w:hAnsi="Arial" w:cs="Arial"/>
        </w:rPr>
        <w:t xml:space="preserve"> terbukti dari hasil pengamatan yang dilakukan kue mutiara dapat ditemui dengan mudah di pasar Blimbing, pasar Kasin, dan pasar Besar. Kue mutiara yang terdapat dipasaran bukan hanya berwarna merah muda namun terdapat juga kue mutiara berwarna hijau dan ungu hal ini menunjukkan bahwa kue mutiara memiliki banyak peminat di pasaran</w:t>
      </w:r>
      <w:r w:rsidRPr="00016EC4">
        <w:rPr>
          <w:rFonts w:ascii="Arial" w:hAnsi="Arial" w:cs="Arial"/>
        </w:rPr>
        <w:t>.</w:t>
      </w:r>
    </w:p>
    <w:p w:rsidR="00525E94" w:rsidRPr="00016EC4" w:rsidRDefault="00525E94" w:rsidP="00525E94">
      <w:pPr>
        <w:spacing w:line="360" w:lineRule="auto"/>
        <w:ind w:left="360" w:firstLine="720"/>
        <w:jc w:val="both"/>
        <w:rPr>
          <w:rFonts w:ascii="Arial" w:hAnsi="Arial" w:cs="Arial"/>
        </w:rPr>
      </w:pPr>
      <w:r w:rsidRPr="00016EC4">
        <w:rPr>
          <w:rFonts w:ascii="Arial" w:hAnsi="Arial" w:cs="Arial"/>
        </w:rPr>
        <w:lastRenderedPageBreak/>
        <w:t>Kue tok dan kue mutiara pada saat dijual di pasar tidak diberikan perlakuan khusus terkait wadah yang tertutup, penjual</w:t>
      </w:r>
      <w:r>
        <w:rPr>
          <w:rFonts w:ascii="Arial" w:hAnsi="Arial" w:cs="Arial"/>
        </w:rPr>
        <w:t xml:space="preserve"> di pasar Blimbing, pasar Kebalen, pasar Kasin, dan pasar Mergan</w:t>
      </w:r>
      <w:r w:rsidRPr="00016EC4">
        <w:rPr>
          <w:rFonts w:ascii="Arial" w:hAnsi="Arial" w:cs="Arial"/>
        </w:rPr>
        <w:t xml:space="preserve"> tidak memberikan penutup pada dagangannya. Hal ini sangat perlu diperhatikan mengingat pasar tradisional merupakan tempat tebuka dan banyak sekali resiko kontaminan yang akan mempengaruhi mikrobiologi pada jajanan, namun masih terdapat penjual yang menggunakan etalase tertutup untuk mejual jajanan. Faktor lain yang dapat mempengaruhi mikrobiologi pada jajanan adalah tidak terdapat penjepit makanan untuk mengambil jajanan sehingga konsumen langsung melakukan kontak fisik dengan jajanan yang ada. Kemasan jajajan kue tok dan kue mutiara sangat bervariasi ada yang menggunakan  mika plastik dan plastik kiloan.</w:t>
      </w:r>
    </w:p>
    <w:p w:rsidR="00525E94" w:rsidRDefault="00525E94" w:rsidP="00525E94">
      <w:pPr>
        <w:pStyle w:val="ListParagraph"/>
        <w:numPr>
          <w:ilvl w:val="0"/>
          <w:numId w:val="1"/>
        </w:numPr>
        <w:spacing w:line="360" w:lineRule="auto"/>
        <w:jc w:val="both"/>
        <w:rPr>
          <w:rFonts w:ascii="Arial" w:hAnsi="Arial" w:cs="Arial"/>
        </w:rPr>
      </w:pPr>
      <w:r>
        <w:rPr>
          <w:rFonts w:ascii="Arial" w:hAnsi="Arial" w:cs="Arial"/>
        </w:rPr>
        <w:t>Mutu Mikrobiologi</w:t>
      </w:r>
    </w:p>
    <w:p w:rsidR="00525E94" w:rsidRPr="00F12252" w:rsidRDefault="00525E94" w:rsidP="00525E94">
      <w:pPr>
        <w:pStyle w:val="ListParagraph"/>
        <w:spacing w:line="360" w:lineRule="auto"/>
        <w:ind w:left="426" w:firstLine="294"/>
        <w:jc w:val="both"/>
        <w:rPr>
          <w:rFonts w:ascii="Arial" w:hAnsi="Arial" w:cs="Arial"/>
        </w:rPr>
      </w:pPr>
      <w:r w:rsidRPr="00F12252">
        <w:rPr>
          <w:rFonts w:ascii="Arial" w:hAnsi="Arial" w:cs="Arial"/>
        </w:rPr>
        <w:t xml:space="preserve">Hasil </w:t>
      </w:r>
      <w:r>
        <w:rPr>
          <w:rFonts w:ascii="Arial" w:hAnsi="Arial" w:cs="Arial"/>
        </w:rPr>
        <w:t>analisis</w:t>
      </w:r>
      <w:r w:rsidRPr="00F12252">
        <w:rPr>
          <w:rFonts w:ascii="Arial" w:hAnsi="Arial" w:cs="Arial"/>
        </w:rPr>
        <w:t xml:space="preserve"> Mutu Mikrobiologi jajanan kue tok dan kue mutiara di pasar tradisional Kota Malang, yaitu pasar Blimbing, pasar Mergan, pasar Kebalen, pasar Kasin, dan pasar Besar</w:t>
      </w:r>
      <w:r>
        <w:rPr>
          <w:rFonts w:ascii="Arial" w:hAnsi="Arial" w:cs="Arial"/>
        </w:rPr>
        <w:t xml:space="preserve"> disajikan pada tabel 4.</w:t>
      </w:r>
    </w:p>
    <w:p w:rsidR="00525E94" w:rsidRDefault="00525E94" w:rsidP="00525E94">
      <w:pPr>
        <w:pStyle w:val="ListParagraph"/>
        <w:spacing w:line="240" w:lineRule="auto"/>
        <w:ind w:left="426"/>
        <w:jc w:val="both"/>
        <w:rPr>
          <w:rFonts w:ascii="Arial" w:hAnsi="Arial" w:cs="Arial"/>
        </w:rPr>
      </w:pPr>
      <w:r w:rsidRPr="00C41002">
        <w:rPr>
          <w:rFonts w:ascii="Arial" w:hAnsi="Arial" w:cs="Arial"/>
        </w:rPr>
        <w:t xml:space="preserve">Tabel </w:t>
      </w:r>
      <w:r w:rsidRPr="00E22A11">
        <w:rPr>
          <w:rFonts w:ascii="Arial" w:hAnsi="Arial" w:cs="Arial"/>
          <w:lang w:val="sv-SE"/>
        </w:rPr>
        <w:t>4</w:t>
      </w:r>
      <w:r w:rsidRPr="00C41002">
        <w:rPr>
          <w:rFonts w:ascii="Arial" w:hAnsi="Arial" w:cs="Arial"/>
        </w:rPr>
        <w:t xml:space="preserve">. Hasil Analisa Uji Total Cemaran Mikroba Jajanan Kue Tok dan </w:t>
      </w:r>
    </w:p>
    <w:p w:rsidR="00525E94" w:rsidRPr="00C41002" w:rsidRDefault="00525E94" w:rsidP="00525E94">
      <w:pPr>
        <w:pStyle w:val="ListParagraph"/>
        <w:spacing w:line="240" w:lineRule="auto"/>
        <w:ind w:left="426"/>
        <w:jc w:val="both"/>
        <w:rPr>
          <w:rFonts w:ascii="Arial" w:hAnsi="Arial" w:cs="Arial"/>
        </w:rPr>
      </w:pPr>
      <w:r w:rsidRPr="00C41002">
        <w:rPr>
          <w:rFonts w:ascii="Arial" w:hAnsi="Arial" w:cs="Arial"/>
        </w:rPr>
        <w:t>Kue Mutiara</w:t>
      </w:r>
    </w:p>
    <w:tbl>
      <w:tblPr>
        <w:tblStyle w:val="TableGrid"/>
        <w:tblW w:w="8359" w:type="dxa"/>
        <w:tblInd w:w="450" w:type="dxa"/>
        <w:tblLook w:val="04A0" w:firstRow="1" w:lastRow="0" w:firstColumn="1" w:lastColumn="0" w:noHBand="0" w:noVBand="1"/>
      </w:tblPr>
      <w:tblGrid>
        <w:gridCol w:w="1709"/>
        <w:gridCol w:w="1830"/>
        <w:gridCol w:w="1701"/>
        <w:gridCol w:w="1276"/>
        <w:gridCol w:w="1843"/>
      </w:tblGrid>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Tempat Pengambilan Sampel</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Sampel</w:t>
            </w:r>
          </w:p>
        </w:tc>
        <w:tc>
          <w:tcPr>
            <w:tcW w:w="1701" w:type="dxa"/>
            <w:tcBorders>
              <w:top w:val="single" w:sz="4" w:space="0" w:color="auto"/>
              <w:left w:val="single" w:sz="4" w:space="0" w:color="auto"/>
              <w:bottom w:val="single" w:sz="4" w:space="0" w:color="auto"/>
              <w:right w:val="single" w:sz="4" w:space="0" w:color="auto"/>
            </w:tcBorders>
          </w:tcPr>
          <w:p w:rsidR="00525E94" w:rsidRPr="00C41002" w:rsidRDefault="00525E94" w:rsidP="00E16B44">
            <w:pPr>
              <w:spacing w:line="360" w:lineRule="auto"/>
              <w:jc w:val="center"/>
              <w:rPr>
                <w:rFonts w:ascii="Arial" w:hAnsi="Arial" w:cs="Arial"/>
              </w:rPr>
            </w:pPr>
            <w:r w:rsidRPr="00C41002">
              <w:rPr>
                <w:rFonts w:ascii="Arial" w:hAnsi="Arial" w:cs="Arial"/>
              </w:rPr>
              <w:t>Standar A</w:t>
            </w:r>
            <w:r>
              <w:rPr>
                <w:rFonts w:ascii="Arial" w:hAnsi="Arial" w:cs="Arial"/>
              </w:rPr>
              <w:t xml:space="preserve">ngka </w:t>
            </w:r>
            <w:r w:rsidRPr="00C41002">
              <w:rPr>
                <w:rFonts w:ascii="Arial" w:hAnsi="Arial" w:cs="Arial"/>
              </w:rPr>
              <w:t>L</w:t>
            </w:r>
            <w:r>
              <w:rPr>
                <w:rFonts w:ascii="Arial" w:hAnsi="Arial" w:cs="Arial"/>
              </w:rPr>
              <w:t xml:space="preserve">empeng </w:t>
            </w:r>
            <w:r w:rsidRPr="00C41002">
              <w:rPr>
                <w:rFonts w:ascii="Arial" w:hAnsi="Arial" w:cs="Arial"/>
              </w:rPr>
              <w:t>T</w:t>
            </w:r>
            <w:r>
              <w:rPr>
                <w:rFonts w:ascii="Arial" w:hAnsi="Arial" w:cs="Arial"/>
              </w:rPr>
              <w:t>otal</w:t>
            </w:r>
            <w:r w:rsidRPr="00C41002">
              <w:rPr>
                <w:rFonts w:ascii="Arial" w:hAnsi="Arial" w:cs="Arial"/>
              </w:rPr>
              <w:t xml:space="preserve"> menurut (</w:t>
            </w:r>
            <w:r>
              <w:rPr>
                <w:rFonts w:ascii="Arial" w:hAnsi="Arial" w:cs="Arial"/>
              </w:rPr>
              <w:t>Peraturan Kepala BPOM tahun 2012</w:t>
            </w:r>
            <w:r w:rsidRPr="00C41002">
              <w:rPr>
                <w:rFonts w:ascii="Arial" w:hAnsi="Arial" w:cs="Arial"/>
              </w:rPr>
              <w:t>)</w:t>
            </w:r>
          </w:p>
        </w:tc>
        <w:tc>
          <w:tcPr>
            <w:tcW w:w="1276" w:type="dxa"/>
            <w:tcBorders>
              <w:lef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Total Mikroba</w:t>
            </w:r>
          </w:p>
        </w:tc>
        <w:tc>
          <w:tcPr>
            <w:tcW w:w="1843"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 xml:space="preserve">Keterangan </w:t>
            </w:r>
          </w:p>
        </w:tc>
      </w:tr>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Blimbing</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(A)</w:t>
            </w:r>
          </w:p>
          <w:p w:rsidR="00525E94" w:rsidRPr="00C41002" w:rsidRDefault="00525E94" w:rsidP="00E16B44">
            <w:pPr>
              <w:spacing w:line="360" w:lineRule="auto"/>
              <w:jc w:val="center"/>
              <w:rPr>
                <w:rFonts w:ascii="Arial" w:hAnsi="Arial" w:cs="Arial"/>
              </w:rPr>
            </w:pPr>
            <w:r w:rsidRPr="00C41002">
              <w:rPr>
                <w:rFonts w:ascii="Arial" w:hAnsi="Arial" w:cs="Arial"/>
              </w:rPr>
              <w:t>Kue Mutiara (A)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1x10</w:t>
            </w:r>
            <w:r>
              <w:rPr>
                <w:rFonts w:ascii="Arial" w:hAnsi="Arial" w:cs="Arial"/>
                <w:vertAlign w:val="superscript"/>
              </w:rPr>
              <w:t>5</w:t>
            </w:r>
            <w:r>
              <w:rPr>
                <w:rFonts w:ascii="Arial" w:hAnsi="Arial" w:cs="Arial"/>
              </w:rPr>
              <w:t xml:space="preserve"> koloni/g</w:t>
            </w:r>
          </w:p>
        </w:tc>
        <w:tc>
          <w:tcPr>
            <w:tcW w:w="1276" w:type="dxa"/>
            <w:tcBorders>
              <w:left w:val="single" w:sz="4" w:space="0" w:color="auto"/>
            </w:tcBorders>
            <w:vAlign w:val="center"/>
          </w:tcPr>
          <w:p w:rsidR="00525E94" w:rsidRDefault="00525E94" w:rsidP="00E16B44">
            <w:pPr>
              <w:spacing w:line="360" w:lineRule="auto"/>
              <w:jc w:val="center"/>
              <w:rPr>
                <w:rFonts w:ascii="Arial" w:hAnsi="Arial" w:cs="Arial"/>
              </w:rPr>
            </w:pPr>
            <w:r w:rsidRPr="00C41002">
              <w:rPr>
                <w:rFonts w:ascii="Arial" w:hAnsi="Arial" w:cs="Arial"/>
              </w:rPr>
              <w:t xml:space="preserve">9,8 x </w:t>
            </w:r>
            <m:oMath>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oMath>
          </w:p>
          <w:p w:rsidR="00525E94" w:rsidRPr="00A25086" w:rsidRDefault="00525E94" w:rsidP="00E16B44">
            <w:pPr>
              <w:spacing w:line="360" w:lineRule="auto"/>
              <w:jc w:val="center"/>
              <w:rPr>
                <w:rFonts w:ascii="Arial" w:hAnsi="Arial" w:cs="Arial"/>
                <w:lang w:val="en-ID"/>
              </w:rPr>
            </w:pPr>
            <w:r>
              <w:rPr>
                <w:rFonts w:ascii="Arial" w:hAnsi="Arial" w:cs="Arial"/>
                <w:lang w:val="en-ID"/>
              </w:rPr>
              <w:t>0</w:t>
            </w:r>
          </w:p>
        </w:tc>
        <w:tc>
          <w:tcPr>
            <w:tcW w:w="1843" w:type="dxa"/>
          </w:tcPr>
          <w:p w:rsidR="00525E94" w:rsidRDefault="00525E94" w:rsidP="00E16B44">
            <w:pPr>
              <w:spacing w:line="360" w:lineRule="auto"/>
              <w:jc w:val="center"/>
              <w:rPr>
                <w:rFonts w:ascii="Arial" w:hAnsi="Arial" w:cs="Arial"/>
              </w:rPr>
            </w:pPr>
            <w:r w:rsidRPr="00C41002">
              <w:rPr>
                <w:rFonts w:ascii="Arial" w:hAnsi="Arial" w:cs="Arial"/>
              </w:rPr>
              <w:t>Diatas standar</w:t>
            </w:r>
          </w:p>
          <w:p w:rsidR="00525E94" w:rsidRPr="00C41002" w:rsidRDefault="00525E94" w:rsidP="00E16B44">
            <w:pPr>
              <w:spacing w:line="360" w:lineRule="auto"/>
              <w:jc w:val="center"/>
              <w:rPr>
                <w:rFonts w:ascii="Arial" w:hAnsi="Arial" w:cs="Arial"/>
              </w:rPr>
            </w:pPr>
            <w:r>
              <w:rPr>
                <w:rFonts w:ascii="Arial" w:hAnsi="Arial" w:cs="Arial"/>
              </w:rPr>
              <w:t xml:space="preserve">Normal </w:t>
            </w:r>
          </w:p>
        </w:tc>
      </w:tr>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Mergan</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(B)</w:t>
            </w:r>
          </w:p>
        </w:tc>
        <w:tc>
          <w:tcPr>
            <w:tcW w:w="1701" w:type="dxa"/>
            <w:vMerge/>
            <w:tcBorders>
              <w:top w:val="single" w:sz="4" w:space="0" w:color="auto"/>
              <w:left w:val="single" w:sz="4" w:space="0" w:color="auto"/>
              <w:bottom w:val="single" w:sz="4" w:space="0" w:color="auto"/>
              <w:right w:val="single" w:sz="4" w:space="0" w:color="auto"/>
            </w:tcBorders>
          </w:tcPr>
          <w:p w:rsidR="00525E94" w:rsidRPr="00C41002" w:rsidRDefault="00525E94" w:rsidP="00E16B44">
            <w:pPr>
              <w:spacing w:line="360" w:lineRule="auto"/>
              <w:jc w:val="center"/>
              <w:rPr>
                <w:rFonts w:ascii="Arial" w:hAnsi="Arial" w:cs="Arial"/>
              </w:rPr>
            </w:pPr>
          </w:p>
        </w:tc>
        <w:tc>
          <w:tcPr>
            <w:tcW w:w="1276" w:type="dxa"/>
            <w:tcBorders>
              <w:lef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 xml:space="preserve">2,8 x </w:t>
            </w:r>
            <m:oMath>
              <m:sSup>
                <m:sSupPr>
                  <m:ctrlPr>
                    <w:rPr>
                      <w:rFonts w:ascii="Cambria Math" w:hAnsi="Cambria Math" w:cs="Arial"/>
                      <w:i/>
                    </w:rPr>
                  </m:ctrlPr>
                </m:sSupPr>
                <m:e>
                  <m:r>
                    <w:rPr>
                      <w:rFonts w:ascii="Cambria Math" w:hAnsi="Cambria Math" w:cs="Arial"/>
                    </w:rPr>
                    <m:t>10</m:t>
                  </m:r>
                </m:e>
                <m:sup>
                  <m:r>
                    <w:rPr>
                      <w:rFonts w:ascii="Cambria Math" w:hAnsi="Cambria Math" w:cs="Arial"/>
                    </w:rPr>
                    <m:t>3</m:t>
                  </m:r>
                </m:sup>
              </m:sSup>
            </m:oMath>
          </w:p>
        </w:tc>
        <w:tc>
          <w:tcPr>
            <w:tcW w:w="1843" w:type="dxa"/>
            <w:vAlign w:val="center"/>
          </w:tcPr>
          <w:p w:rsidR="00525E94" w:rsidRPr="00AC2626" w:rsidRDefault="00525E94" w:rsidP="00E16B44">
            <w:pPr>
              <w:spacing w:line="360" w:lineRule="auto"/>
              <w:jc w:val="center"/>
              <w:rPr>
                <w:rFonts w:ascii="Arial" w:hAnsi="Arial" w:cs="Arial"/>
                <w:lang w:val="en-US"/>
              </w:rPr>
            </w:pPr>
            <w:r>
              <w:rPr>
                <w:rFonts w:ascii="Arial" w:hAnsi="Arial" w:cs="Arial"/>
                <w:lang w:val="en-US"/>
              </w:rPr>
              <w:t>Normal</w:t>
            </w:r>
          </w:p>
        </w:tc>
      </w:tr>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Kebalen</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(C)</w:t>
            </w:r>
          </w:p>
        </w:tc>
        <w:tc>
          <w:tcPr>
            <w:tcW w:w="1701" w:type="dxa"/>
            <w:vMerge/>
            <w:tcBorders>
              <w:top w:val="single" w:sz="4" w:space="0" w:color="auto"/>
              <w:left w:val="single" w:sz="4" w:space="0" w:color="auto"/>
              <w:bottom w:val="single" w:sz="4" w:space="0" w:color="auto"/>
              <w:right w:val="single" w:sz="4" w:space="0" w:color="auto"/>
            </w:tcBorders>
          </w:tcPr>
          <w:p w:rsidR="00525E94" w:rsidRPr="00C41002" w:rsidRDefault="00525E94" w:rsidP="00E16B44">
            <w:pPr>
              <w:spacing w:line="360" w:lineRule="auto"/>
              <w:jc w:val="center"/>
              <w:rPr>
                <w:rFonts w:ascii="Arial" w:hAnsi="Arial" w:cs="Arial"/>
              </w:rPr>
            </w:pPr>
          </w:p>
        </w:tc>
        <w:tc>
          <w:tcPr>
            <w:tcW w:w="1276" w:type="dxa"/>
            <w:tcBorders>
              <w:lef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 xml:space="preserve">7,2 x </w:t>
            </w:r>
            <m:oMath>
              <m:sSup>
                <m:sSupPr>
                  <m:ctrlPr>
                    <w:rPr>
                      <w:rFonts w:ascii="Cambria Math" w:hAnsi="Cambria Math" w:cs="Arial"/>
                      <w:i/>
                    </w:rPr>
                  </m:ctrlPr>
                </m:sSupPr>
                <m:e>
                  <m:r>
                    <w:rPr>
                      <w:rFonts w:ascii="Cambria Math" w:hAnsi="Cambria Math" w:cs="Arial"/>
                    </w:rPr>
                    <m:t>10</m:t>
                  </m:r>
                </m:e>
                <m:sup>
                  <m:r>
                    <w:rPr>
                      <w:rFonts w:ascii="Cambria Math" w:hAnsi="Cambria Math" w:cs="Arial"/>
                    </w:rPr>
                    <m:t>5</m:t>
                  </m:r>
                </m:sup>
              </m:sSup>
            </m:oMath>
          </w:p>
        </w:tc>
        <w:tc>
          <w:tcPr>
            <w:tcW w:w="1843"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Diatas standar</w:t>
            </w:r>
          </w:p>
        </w:tc>
      </w:tr>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 xml:space="preserve">Pasar Kasin </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Mutiara (B)</w:t>
            </w:r>
          </w:p>
        </w:tc>
        <w:tc>
          <w:tcPr>
            <w:tcW w:w="1701" w:type="dxa"/>
            <w:vMerge/>
            <w:tcBorders>
              <w:top w:val="single" w:sz="4" w:space="0" w:color="auto"/>
              <w:left w:val="single" w:sz="4" w:space="0" w:color="auto"/>
              <w:bottom w:val="single" w:sz="4" w:space="0" w:color="auto"/>
              <w:right w:val="single" w:sz="4" w:space="0" w:color="auto"/>
            </w:tcBorders>
          </w:tcPr>
          <w:p w:rsidR="00525E94" w:rsidRPr="00C41002" w:rsidRDefault="00525E94" w:rsidP="00E16B44">
            <w:pPr>
              <w:spacing w:line="360" w:lineRule="auto"/>
              <w:jc w:val="center"/>
              <w:rPr>
                <w:rFonts w:ascii="Arial" w:hAnsi="Arial" w:cs="Arial"/>
              </w:rPr>
            </w:pPr>
          </w:p>
        </w:tc>
        <w:tc>
          <w:tcPr>
            <w:tcW w:w="1276" w:type="dxa"/>
            <w:tcBorders>
              <w:left w:val="single" w:sz="4" w:space="0" w:color="auto"/>
            </w:tcBorders>
            <w:vAlign w:val="center"/>
          </w:tcPr>
          <w:p w:rsidR="00525E94" w:rsidRPr="00A25086" w:rsidRDefault="00525E94" w:rsidP="00E16B44">
            <w:pPr>
              <w:spacing w:line="360" w:lineRule="auto"/>
              <w:jc w:val="center"/>
              <w:rPr>
                <w:rFonts w:ascii="Arial" w:hAnsi="Arial" w:cs="Arial"/>
                <w:lang w:val="en-ID"/>
              </w:rPr>
            </w:pPr>
            <w:r>
              <w:rPr>
                <w:rFonts w:ascii="Arial" w:hAnsi="Arial" w:cs="Arial"/>
                <w:lang w:val="en-ID"/>
              </w:rPr>
              <w:t>0</w:t>
            </w:r>
          </w:p>
        </w:tc>
        <w:tc>
          <w:tcPr>
            <w:tcW w:w="1843" w:type="dxa"/>
            <w:vAlign w:val="center"/>
          </w:tcPr>
          <w:p w:rsidR="00525E94" w:rsidRPr="00C41002" w:rsidRDefault="00525E94" w:rsidP="00E16B44">
            <w:pPr>
              <w:spacing w:line="360" w:lineRule="auto"/>
              <w:jc w:val="center"/>
              <w:rPr>
                <w:rFonts w:ascii="Arial" w:hAnsi="Arial" w:cs="Arial"/>
              </w:rPr>
            </w:pPr>
            <w:r>
              <w:rPr>
                <w:rFonts w:ascii="Arial" w:hAnsi="Arial" w:cs="Arial"/>
              </w:rPr>
              <w:t xml:space="preserve">Normal </w:t>
            </w:r>
          </w:p>
        </w:tc>
      </w:tr>
      <w:tr w:rsidR="00525E94" w:rsidRPr="00C41002" w:rsidTr="00E16B44">
        <w:tc>
          <w:tcPr>
            <w:tcW w:w="1709"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Besar</w:t>
            </w:r>
          </w:p>
        </w:tc>
        <w:tc>
          <w:tcPr>
            <w:tcW w:w="1830" w:type="dxa"/>
            <w:tcBorders>
              <w:right w:val="single" w:sz="4" w:space="0" w:color="auto"/>
            </w:tcBorders>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Mutiara (C)</w:t>
            </w:r>
          </w:p>
        </w:tc>
        <w:tc>
          <w:tcPr>
            <w:tcW w:w="1701" w:type="dxa"/>
            <w:vMerge/>
            <w:tcBorders>
              <w:top w:val="single" w:sz="4" w:space="0" w:color="auto"/>
              <w:left w:val="single" w:sz="4" w:space="0" w:color="auto"/>
              <w:bottom w:val="single" w:sz="4" w:space="0" w:color="auto"/>
              <w:right w:val="single" w:sz="4" w:space="0" w:color="auto"/>
            </w:tcBorders>
          </w:tcPr>
          <w:p w:rsidR="00525E94" w:rsidRPr="00C41002" w:rsidRDefault="00525E94" w:rsidP="00E16B44">
            <w:pPr>
              <w:spacing w:line="360" w:lineRule="auto"/>
              <w:jc w:val="center"/>
              <w:rPr>
                <w:rFonts w:ascii="Arial" w:hAnsi="Arial" w:cs="Arial"/>
              </w:rPr>
            </w:pPr>
          </w:p>
        </w:tc>
        <w:tc>
          <w:tcPr>
            <w:tcW w:w="1276" w:type="dxa"/>
            <w:tcBorders>
              <w:left w:val="single" w:sz="4" w:space="0" w:color="auto"/>
            </w:tcBorders>
            <w:vAlign w:val="center"/>
          </w:tcPr>
          <w:p w:rsidR="00525E94" w:rsidRPr="00BA1717" w:rsidRDefault="00525E94" w:rsidP="00E16B44">
            <w:pPr>
              <w:spacing w:line="360" w:lineRule="auto"/>
              <w:jc w:val="center"/>
              <w:rPr>
                <w:rFonts w:ascii="Arial" w:hAnsi="Arial" w:cs="Arial"/>
                <w:i/>
                <w:lang w:val="en-US"/>
              </w:rPr>
            </w:pPr>
            <w:r>
              <w:rPr>
                <w:rFonts w:ascii="Arial" w:hAnsi="Arial" w:cs="Arial"/>
                <w:lang w:val="en-US"/>
              </w:rPr>
              <w:t xml:space="preserve">2,0 x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m:t>
                  </m:r>
                </m:sup>
              </m:sSup>
            </m:oMath>
          </w:p>
        </w:tc>
        <w:tc>
          <w:tcPr>
            <w:tcW w:w="1843" w:type="dxa"/>
            <w:vAlign w:val="center"/>
          </w:tcPr>
          <w:p w:rsidR="00525E94" w:rsidRPr="00C41002" w:rsidRDefault="00525E94" w:rsidP="00E16B44">
            <w:pPr>
              <w:spacing w:line="360" w:lineRule="auto"/>
              <w:jc w:val="center"/>
              <w:rPr>
                <w:rFonts w:ascii="Arial" w:hAnsi="Arial" w:cs="Arial"/>
              </w:rPr>
            </w:pPr>
            <w:r>
              <w:rPr>
                <w:rFonts w:ascii="Arial" w:hAnsi="Arial" w:cs="Arial"/>
              </w:rPr>
              <w:t xml:space="preserve">Normal </w:t>
            </w:r>
          </w:p>
        </w:tc>
      </w:tr>
    </w:tbl>
    <w:p w:rsidR="00525E94" w:rsidRDefault="00525E94" w:rsidP="00525E94">
      <w:pPr>
        <w:spacing w:line="360" w:lineRule="auto"/>
        <w:ind w:left="720" w:firstLine="720"/>
        <w:jc w:val="both"/>
        <w:rPr>
          <w:rFonts w:ascii="Arial" w:hAnsi="Arial" w:cs="Arial"/>
        </w:rPr>
      </w:pPr>
    </w:p>
    <w:p w:rsidR="00525E94" w:rsidRDefault="00525E94" w:rsidP="00525E94">
      <w:pPr>
        <w:spacing w:line="360" w:lineRule="auto"/>
        <w:ind w:left="426" w:firstLine="720"/>
        <w:jc w:val="both"/>
        <w:rPr>
          <w:rFonts w:ascii="Arial" w:hAnsi="Arial" w:cs="Arial"/>
        </w:rPr>
      </w:pPr>
      <w:r w:rsidRPr="00C41002">
        <w:rPr>
          <w:rFonts w:ascii="Arial" w:hAnsi="Arial" w:cs="Arial"/>
        </w:rPr>
        <w:t xml:space="preserve">Tabel </w:t>
      </w:r>
      <w:r w:rsidRPr="00E22A11">
        <w:rPr>
          <w:rFonts w:ascii="Arial" w:hAnsi="Arial" w:cs="Arial"/>
        </w:rPr>
        <w:t>4</w:t>
      </w:r>
      <w:r w:rsidRPr="00C41002">
        <w:rPr>
          <w:rFonts w:ascii="Arial" w:hAnsi="Arial" w:cs="Arial"/>
        </w:rPr>
        <w:t xml:space="preserve"> </w:t>
      </w:r>
      <w:r>
        <w:rPr>
          <w:rFonts w:ascii="Arial" w:hAnsi="Arial" w:cs="Arial"/>
        </w:rPr>
        <w:t xml:space="preserve">menunjukkan </w:t>
      </w:r>
      <w:r w:rsidRPr="00C41002">
        <w:rPr>
          <w:rFonts w:ascii="Arial" w:hAnsi="Arial" w:cs="Arial"/>
        </w:rPr>
        <w:t>bahwa sampel jajanan kue tok di beberapa pasar tradisional kota Malang memiliki total mikroba yang m</w:t>
      </w:r>
      <w:r>
        <w:rPr>
          <w:rFonts w:ascii="Arial" w:hAnsi="Arial" w:cs="Arial"/>
        </w:rPr>
        <w:t>elebihi ambang batas standar angka lempeng total</w:t>
      </w:r>
      <w:r w:rsidRPr="00C41002">
        <w:rPr>
          <w:rFonts w:ascii="Arial" w:hAnsi="Arial" w:cs="Arial"/>
        </w:rPr>
        <w:t xml:space="preserve"> menurut </w:t>
      </w:r>
      <w:bookmarkStart w:id="0" w:name="_Hlk516042543"/>
      <w:r>
        <w:rPr>
          <w:rFonts w:ascii="Arial" w:hAnsi="Arial" w:cs="Arial"/>
        </w:rPr>
        <w:t>BPOM tahun 2012</w:t>
      </w:r>
      <w:r w:rsidRPr="00C41002">
        <w:rPr>
          <w:rFonts w:ascii="Arial" w:hAnsi="Arial" w:cs="Arial"/>
        </w:rPr>
        <w:t xml:space="preserve"> </w:t>
      </w:r>
      <w:bookmarkEnd w:id="0"/>
      <w:r w:rsidRPr="00C41002">
        <w:rPr>
          <w:rFonts w:ascii="Arial" w:hAnsi="Arial" w:cs="Arial"/>
        </w:rPr>
        <w:t>yaitu 1x10</w:t>
      </w:r>
      <w:r>
        <w:rPr>
          <w:rFonts w:ascii="Arial" w:hAnsi="Arial" w:cs="Arial"/>
          <w:vertAlign w:val="superscript"/>
        </w:rPr>
        <w:t>5</w:t>
      </w:r>
      <w:r w:rsidRPr="00C41002">
        <w:rPr>
          <w:rFonts w:ascii="Arial" w:hAnsi="Arial" w:cs="Arial"/>
        </w:rPr>
        <w:t xml:space="preserve"> koloni/g.</w:t>
      </w:r>
      <w:r>
        <w:rPr>
          <w:rFonts w:ascii="Arial" w:hAnsi="Arial" w:cs="Arial"/>
        </w:rPr>
        <w:t xml:space="preserve"> Sampel jajanan Kue tok di pasar Blimbing memiliki total cemaran mikroba yang melebihi ambang batas angka lempeng total hal ini disebabkan karena lokasi penjualan kue tok terdapat pada tempat yang berdebu dan dipinggir jalan hal lain yang juga mempengaruhi adalah jajanan yang tidak  ditutup sehingga rawan terjadi kontaminasi (lampiran 6) hal ini juga dijelaskan oleh </w:t>
      </w:r>
      <w:r>
        <w:rPr>
          <w:rFonts w:ascii="Arial" w:hAnsi="Arial" w:cs="Arial"/>
        </w:rPr>
        <w:lastRenderedPageBreak/>
        <w:t xml:space="preserve">indraswati (2016) </w:t>
      </w:r>
      <w:r w:rsidRPr="00962080">
        <w:rPr>
          <w:rFonts w:ascii="Arial" w:hAnsi="Arial" w:cs="Arial"/>
        </w:rPr>
        <w:t>Kontaminasi dapat terjadi pada jajanan Kue tok ini terkait dengan lokasi penjualan jajanan kue ini dan wadah yang tidak tertutup akan menyebabkan mudahnya mikroorganisme mengkontaminasi jajanan basah dengan menggunakan wadah yang tertutup. Jajanan kue</w:t>
      </w:r>
      <w:r>
        <w:rPr>
          <w:rFonts w:ascii="Arial" w:hAnsi="Arial" w:cs="Arial"/>
        </w:rPr>
        <w:t xml:space="preserve"> tok yang dijual dipasar Mergan memliki hasil angka lempeng total normal faktor yang mempengaruhi hal tersebut adalah pedagang menjual jajanan pada etalase tertutup sehingga kontaminasi pada jajanan dapat di minimalisir (lampiran 6). Kue tok yang dijual di pasar Kebalen memiliki hasil total cemaran diatas standar hal ini disebabkan karena penjual tidak memberikan penutup pada dagangannya faktor ini sangat berpengaruh pada jajanan, tempat penjualan jajanan yang terletak di pinggir jalan menyebabkan rawan terjadinya kontaminasi pada jajanan karena banyak kendaraan yang melintas, hal lain yang mempengaruhi tingginya angka lempeng total yaitu tempat penjualan jajanan bersebelahan dengan pedagang penjual ikan segar (lampiran 6) hal ini dijelaskan  bahwa ikan segar dapat menyebabkan kontaminasi silang pada jajanan karena.</w:t>
      </w:r>
    </w:p>
    <w:p w:rsidR="00525E94" w:rsidRDefault="00525E94" w:rsidP="00525E94">
      <w:pPr>
        <w:spacing w:line="360" w:lineRule="auto"/>
        <w:ind w:left="426" w:firstLine="720"/>
        <w:jc w:val="both"/>
        <w:rPr>
          <w:rFonts w:ascii="Arial" w:hAnsi="Arial" w:cs="Arial"/>
        </w:rPr>
      </w:pPr>
      <w:r>
        <w:rPr>
          <w:rFonts w:ascii="Arial" w:hAnsi="Arial" w:cs="Arial"/>
        </w:rPr>
        <w:t>Tabel 4 juga menujukkan bahwa total mikroba pada jajanan kue mutiara di pasar Blimbing, pasar Kasin, dan Pasar Besar adalah dibawah standar dan dianggap masih aman jka dikonsumsi, hal ini dipengaruhi oleh pembungkus makanan yang membungkus rapat jajanan kue mutiara. Pada sampel kue mutiara dari pasar besar masih ditumbuhi oleh mikroba pada pengenceran pertama namun hal ini masih aman karena pengenceran utama hasilnya adalah dibawah standar angka lempeng total.</w:t>
      </w:r>
      <w:r w:rsidRPr="004F1E1E">
        <w:rPr>
          <w:rFonts w:ascii="Arial" w:hAnsi="Arial" w:cs="Arial"/>
        </w:rPr>
        <w:t xml:space="preserve"> </w:t>
      </w:r>
      <w:r w:rsidRPr="008C3C25">
        <w:rPr>
          <w:rFonts w:ascii="Arial" w:hAnsi="Arial" w:cs="Arial"/>
        </w:rPr>
        <w:t xml:space="preserve">Dari hasil pengamatan kue mutiara tidak menunjukkan tanda kerusakan walaupun telah </w:t>
      </w:r>
      <w:r>
        <w:rPr>
          <w:rFonts w:ascii="Arial" w:hAnsi="Arial" w:cs="Arial"/>
        </w:rPr>
        <w:t>dibiarkan selama 12 jam, faktor lain yang membuat kue mutiara tidak ditemukan cemaran mikroba adalah bungkus yang tertutup di semua pedagan yang diambel sampel jajanan. P</w:t>
      </w:r>
      <w:r>
        <w:rPr>
          <w:rFonts w:ascii="Arial" w:eastAsiaTheme="minorEastAsia" w:hAnsi="Arial" w:cs="Arial"/>
        </w:rPr>
        <w:t>ada sampel kue mutiara di pasar besar hasil ini masih dibawah standar hal ini dapat disebabkan karena jajanan disimpan terlebih dahulu oleh penjual</w:t>
      </w:r>
      <w:r>
        <w:rPr>
          <w:rFonts w:ascii="Arial" w:hAnsi="Arial" w:cs="Arial"/>
        </w:rPr>
        <w:t xml:space="preserve">. Dari hasil penelitian sampel kue mutiara dari pasar Blimbing, pasar Kasin, dan pasar Besar yang telah diambil dinyatakan aman karena setelah di uji total mikroba tidak terdapat mikroba yang tumbuh.  </w:t>
      </w:r>
      <w:r w:rsidRPr="00D064A6">
        <w:rPr>
          <w:rFonts w:ascii="Arial" w:hAnsi="Arial" w:cs="Arial"/>
        </w:rPr>
        <w:t>Hasil penelitian juga diperkuat dengan</w:t>
      </w:r>
      <w:r>
        <w:rPr>
          <w:rFonts w:ascii="Arial" w:hAnsi="Arial" w:cs="Arial"/>
        </w:rPr>
        <w:t xml:space="preserve"> PP no. 28 tahun 2004 pasal 9 tentang keamanan, mutu, dan gizi pangan kontaminasi biologi pada jajanan dapat dicegah melalui sanitasi pengolahan bahan makanan termasuk pemilihan, penyimpanan, dan perlakuan pada jajanan tersebut , serta tersedianya sarana sanitasi.</w:t>
      </w:r>
      <w:r w:rsidRPr="00D064A6">
        <w:rPr>
          <w:rFonts w:ascii="Arial" w:hAnsi="Arial" w:cs="Arial"/>
        </w:rPr>
        <w:t xml:space="preserve"> </w:t>
      </w:r>
    </w:p>
    <w:p w:rsidR="00525E94" w:rsidRPr="00C41002" w:rsidRDefault="00525E94" w:rsidP="00525E94">
      <w:pPr>
        <w:pStyle w:val="ListParagraph"/>
        <w:numPr>
          <w:ilvl w:val="0"/>
          <w:numId w:val="1"/>
        </w:numPr>
        <w:spacing w:line="360" w:lineRule="auto"/>
        <w:jc w:val="both"/>
        <w:rPr>
          <w:rFonts w:ascii="Arial" w:hAnsi="Arial" w:cs="Arial"/>
        </w:rPr>
      </w:pPr>
      <w:r>
        <w:rPr>
          <w:rFonts w:ascii="Arial" w:hAnsi="Arial" w:cs="Arial"/>
        </w:rPr>
        <w:t>Mutu Kimia</w:t>
      </w:r>
    </w:p>
    <w:p w:rsidR="00525E94" w:rsidRPr="00455589" w:rsidRDefault="00525E94" w:rsidP="00525E94">
      <w:pPr>
        <w:pStyle w:val="ListParagraph"/>
        <w:spacing w:line="360" w:lineRule="auto"/>
        <w:ind w:left="426" w:firstLine="294"/>
        <w:jc w:val="both"/>
        <w:rPr>
          <w:rFonts w:ascii="Arial" w:hAnsi="Arial" w:cs="Arial"/>
        </w:rPr>
      </w:pPr>
      <w:r>
        <w:rPr>
          <w:rFonts w:ascii="Arial" w:hAnsi="Arial" w:cs="Arial"/>
        </w:rPr>
        <w:t xml:space="preserve">Hasil </w:t>
      </w:r>
      <w:r w:rsidRPr="00455589">
        <w:rPr>
          <w:rFonts w:ascii="Arial" w:hAnsi="Arial" w:cs="Arial"/>
          <w:sz w:val="20"/>
        </w:rPr>
        <w:t>analisis</w:t>
      </w:r>
      <w:r>
        <w:rPr>
          <w:rFonts w:ascii="Arial" w:hAnsi="Arial" w:cs="Arial"/>
        </w:rPr>
        <w:t xml:space="preserve"> mutu kimia yaitu </w:t>
      </w:r>
      <w:r w:rsidRPr="00C41002">
        <w:rPr>
          <w:rFonts w:ascii="Arial" w:hAnsi="Arial" w:cs="Arial"/>
        </w:rPr>
        <w:t xml:space="preserve">Rhodamin B pada jajanan Kue Tok dan </w:t>
      </w:r>
      <w:r w:rsidRPr="00455589">
        <w:rPr>
          <w:rFonts w:ascii="Arial" w:hAnsi="Arial" w:cs="Arial"/>
          <w:sz w:val="20"/>
        </w:rPr>
        <w:t>Kue</w:t>
      </w:r>
      <w:r w:rsidRPr="00C41002">
        <w:rPr>
          <w:rFonts w:ascii="Arial" w:hAnsi="Arial" w:cs="Arial"/>
        </w:rPr>
        <w:t xml:space="preserve"> Mutiara </w:t>
      </w:r>
      <w:r w:rsidRPr="00F12252">
        <w:rPr>
          <w:rFonts w:ascii="Arial" w:hAnsi="Arial" w:cs="Arial"/>
        </w:rPr>
        <w:t xml:space="preserve">di pasar tradisional Kota Malang, yaitu pasar Blimbing, </w:t>
      </w:r>
      <w:r w:rsidRPr="00455589">
        <w:rPr>
          <w:rFonts w:ascii="Arial" w:hAnsi="Arial" w:cs="Arial"/>
        </w:rPr>
        <w:t>pasar</w:t>
      </w:r>
      <w:r w:rsidRPr="00455589">
        <w:rPr>
          <w:rFonts w:ascii="Arial" w:hAnsi="Arial" w:cs="Arial"/>
          <w:sz w:val="24"/>
        </w:rPr>
        <w:t xml:space="preserve"> </w:t>
      </w:r>
      <w:r w:rsidRPr="00F12252">
        <w:rPr>
          <w:rFonts w:ascii="Arial" w:hAnsi="Arial" w:cs="Arial"/>
        </w:rPr>
        <w:t xml:space="preserve">Mergan, </w:t>
      </w:r>
      <w:r w:rsidRPr="00455589">
        <w:rPr>
          <w:rFonts w:ascii="Arial" w:hAnsi="Arial" w:cs="Arial"/>
          <w:sz w:val="20"/>
        </w:rPr>
        <w:t>pasar Kebalen</w:t>
      </w:r>
      <w:r w:rsidRPr="00F12252">
        <w:rPr>
          <w:rFonts w:ascii="Arial" w:hAnsi="Arial" w:cs="Arial"/>
        </w:rPr>
        <w:t xml:space="preserve">, pasar </w:t>
      </w:r>
      <w:r w:rsidRPr="00455589">
        <w:rPr>
          <w:rFonts w:ascii="Arial" w:hAnsi="Arial" w:cs="Arial"/>
          <w:sz w:val="20"/>
        </w:rPr>
        <w:t>Kasin</w:t>
      </w:r>
      <w:r w:rsidRPr="00F12252">
        <w:rPr>
          <w:rFonts w:ascii="Arial" w:hAnsi="Arial" w:cs="Arial"/>
        </w:rPr>
        <w:t>, dan pasar Besar</w:t>
      </w:r>
      <w:r>
        <w:rPr>
          <w:rFonts w:ascii="Arial" w:hAnsi="Arial" w:cs="Arial"/>
        </w:rPr>
        <w:t xml:space="preserve"> disajikan pada T</w:t>
      </w:r>
      <w:r w:rsidRPr="00455589">
        <w:rPr>
          <w:rFonts w:ascii="Arial" w:hAnsi="Arial" w:cs="Arial"/>
        </w:rPr>
        <w:t>abel 5</w:t>
      </w:r>
      <w:r>
        <w:rPr>
          <w:rFonts w:ascii="Arial" w:hAnsi="Arial" w:cs="Arial"/>
        </w:rPr>
        <w:t xml:space="preserve">. </w:t>
      </w:r>
    </w:p>
    <w:tbl>
      <w:tblPr>
        <w:tblStyle w:val="TableGrid"/>
        <w:tblpPr w:leftFromText="180" w:rightFromText="180" w:vertAnchor="text" w:horzAnchor="margin" w:tblpX="392" w:tblpY="536"/>
        <w:tblW w:w="7927" w:type="dxa"/>
        <w:tblLook w:val="04A0" w:firstRow="1" w:lastRow="0" w:firstColumn="1" w:lastColumn="0" w:noHBand="0" w:noVBand="1"/>
      </w:tblPr>
      <w:tblGrid>
        <w:gridCol w:w="2055"/>
        <w:gridCol w:w="1938"/>
        <w:gridCol w:w="2002"/>
        <w:gridCol w:w="1932"/>
      </w:tblGrid>
      <w:tr w:rsidR="00525E94" w:rsidRPr="00C41002" w:rsidTr="00E16B44">
        <w:tc>
          <w:tcPr>
            <w:tcW w:w="2055" w:type="dxa"/>
            <w:vAlign w:val="center"/>
          </w:tcPr>
          <w:p w:rsidR="00525E94" w:rsidRPr="00C41002" w:rsidRDefault="00525E94" w:rsidP="00E16B44">
            <w:pPr>
              <w:jc w:val="center"/>
              <w:rPr>
                <w:rFonts w:ascii="Arial" w:hAnsi="Arial" w:cs="Arial"/>
              </w:rPr>
            </w:pPr>
            <w:r w:rsidRPr="00C41002">
              <w:rPr>
                <w:rFonts w:ascii="Arial" w:hAnsi="Arial" w:cs="Arial"/>
              </w:rPr>
              <w:lastRenderedPageBreak/>
              <w:t>Tempat Pengambilan Sampel</w:t>
            </w:r>
          </w:p>
        </w:tc>
        <w:tc>
          <w:tcPr>
            <w:tcW w:w="1938" w:type="dxa"/>
            <w:vAlign w:val="center"/>
          </w:tcPr>
          <w:p w:rsidR="00525E94" w:rsidRPr="00C41002" w:rsidRDefault="00525E94" w:rsidP="00E16B44">
            <w:pPr>
              <w:jc w:val="center"/>
              <w:rPr>
                <w:rFonts w:ascii="Arial" w:hAnsi="Arial" w:cs="Arial"/>
              </w:rPr>
            </w:pPr>
            <w:r w:rsidRPr="00C41002">
              <w:rPr>
                <w:rFonts w:ascii="Arial" w:hAnsi="Arial" w:cs="Arial"/>
              </w:rPr>
              <w:t>Sampel</w:t>
            </w:r>
          </w:p>
        </w:tc>
        <w:tc>
          <w:tcPr>
            <w:tcW w:w="2002" w:type="dxa"/>
            <w:vAlign w:val="center"/>
          </w:tcPr>
          <w:p w:rsidR="00525E94" w:rsidRPr="00C41002" w:rsidRDefault="00525E94" w:rsidP="00E16B44">
            <w:pPr>
              <w:jc w:val="center"/>
              <w:rPr>
                <w:rFonts w:ascii="Arial" w:hAnsi="Arial" w:cs="Arial"/>
              </w:rPr>
            </w:pPr>
            <w:r w:rsidRPr="00C41002">
              <w:rPr>
                <w:rFonts w:ascii="Arial" w:hAnsi="Arial" w:cs="Arial"/>
              </w:rPr>
              <w:t>Parameter</w:t>
            </w:r>
          </w:p>
        </w:tc>
        <w:tc>
          <w:tcPr>
            <w:tcW w:w="1932" w:type="dxa"/>
            <w:vAlign w:val="center"/>
          </w:tcPr>
          <w:p w:rsidR="00525E94" w:rsidRPr="00C41002" w:rsidRDefault="00525E94" w:rsidP="00E16B44">
            <w:pPr>
              <w:jc w:val="center"/>
              <w:rPr>
                <w:rFonts w:ascii="Arial" w:hAnsi="Arial" w:cs="Arial"/>
              </w:rPr>
            </w:pPr>
            <w:r w:rsidRPr="00C41002">
              <w:rPr>
                <w:rFonts w:ascii="Arial" w:hAnsi="Arial" w:cs="Arial"/>
              </w:rPr>
              <w:t>Hasil Analisa</w:t>
            </w:r>
          </w:p>
        </w:tc>
      </w:tr>
      <w:tr w:rsidR="00525E94" w:rsidRPr="00C41002" w:rsidTr="00E16B44">
        <w:tc>
          <w:tcPr>
            <w:tcW w:w="2055"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Blimbing</w:t>
            </w:r>
          </w:p>
        </w:tc>
        <w:tc>
          <w:tcPr>
            <w:tcW w:w="1938"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(A)</w:t>
            </w:r>
          </w:p>
          <w:p w:rsidR="00525E94" w:rsidRPr="00C41002" w:rsidRDefault="00525E94" w:rsidP="00E16B44">
            <w:pPr>
              <w:spacing w:line="360" w:lineRule="auto"/>
              <w:jc w:val="center"/>
              <w:rPr>
                <w:rFonts w:ascii="Arial" w:hAnsi="Arial" w:cs="Arial"/>
              </w:rPr>
            </w:pPr>
            <w:r w:rsidRPr="00C41002">
              <w:rPr>
                <w:rFonts w:ascii="Arial" w:hAnsi="Arial" w:cs="Arial"/>
              </w:rPr>
              <w:t>Kue Mutiara (A)</w:t>
            </w:r>
          </w:p>
        </w:tc>
        <w:tc>
          <w:tcPr>
            <w:tcW w:w="200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Rhodamin B</w:t>
            </w:r>
          </w:p>
        </w:tc>
        <w:tc>
          <w:tcPr>
            <w:tcW w:w="193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Negatif (-)</w:t>
            </w:r>
          </w:p>
        </w:tc>
      </w:tr>
      <w:tr w:rsidR="00525E94" w:rsidRPr="00C41002" w:rsidTr="00E16B44">
        <w:tc>
          <w:tcPr>
            <w:tcW w:w="2055"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Mergan</w:t>
            </w:r>
          </w:p>
        </w:tc>
        <w:tc>
          <w:tcPr>
            <w:tcW w:w="1938"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(B)</w:t>
            </w:r>
          </w:p>
        </w:tc>
        <w:tc>
          <w:tcPr>
            <w:tcW w:w="200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Rhodamin B</w:t>
            </w:r>
          </w:p>
        </w:tc>
        <w:tc>
          <w:tcPr>
            <w:tcW w:w="193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Negatif (-)</w:t>
            </w:r>
          </w:p>
        </w:tc>
      </w:tr>
      <w:tr w:rsidR="00525E94" w:rsidRPr="00C41002" w:rsidTr="00E16B44">
        <w:tc>
          <w:tcPr>
            <w:tcW w:w="2055"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Kebalen</w:t>
            </w:r>
          </w:p>
        </w:tc>
        <w:tc>
          <w:tcPr>
            <w:tcW w:w="1938"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Tok (C)</w:t>
            </w:r>
          </w:p>
        </w:tc>
        <w:tc>
          <w:tcPr>
            <w:tcW w:w="200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Rhodamin B</w:t>
            </w:r>
          </w:p>
        </w:tc>
        <w:tc>
          <w:tcPr>
            <w:tcW w:w="193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Negatif (-)</w:t>
            </w:r>
          </w:p>
        </w:tc>
      </w:tr>
      <w:tr w:rsidR="00525E94" w:rsidRPr="00C41002" w:rsidTr="00E16B44">
        <w:tc>
          <w:tcPr>
            <w:tcW w:w="2055"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 xml:space="preserve">Pasar Kasin </w:t>
            </w:r>
          </w:p>
        </w:tc>
        <w:tc>
          <w:tcPr>
            <w:tcW w:w="1938"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Mutiara (B)</w:t>
            </w:r>
          </w:p>
        </w:tc>
        <w:tc>
          <w:tcPr>
            <w:tcW w:w="200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Rhodamin B</w:t>
            </w:r>
          </w:p>
        </w:tc>
        <w:tc>
          <w:tcPr>
            <w:tcW w:w="193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Negatif (-)</w:t>
            </w:r>
          </w:p>
        </w:tc>
      </w:tr>
      <w:tr w:rsidR="00525E94" w:rsidRPr="00C41002" w:rsidTr="00E16B44">
        <w:tc>
          <w:tcPr>
            <w:tcW w:w="2055"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Pasar Besar</w:t>
            </w:r>
          </w:p>
        </w:tc>
        <w:tc>
          <w:tcPr>
            <w:tcW w:w="1938"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Kue Mutiara (C)</w:t>
            </w:r>
          </w:p>
        </w:tc>
        <w:tc>
          <w:tcPr>
            <w:tcW w:w="200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Rhodamin B</w:t>
            </w:r>
          </w:p>
        </w:tc>
        <w:tc>
          <w:tcPr>
            <w:tcW w:w="1932" w:type="dxa"/>
            <w:vAlign w:val="center"/>
          </w:tcPr>
          <w:p w:rsidR="00525E94" w:rsidRPr="00C41002" w:rsidRDefault="00525E94" w:rsidP="00E16B44">
            <w:pPr>
              <w:spacing w:line="360" w:lineRule="auto"/>
              <w:jc w:val="center"/>
              <w:rPr>
                <w:rFonts w:ascii="Arial" w:hAnsi="Arial" w:cs="Arial"/>
              </w:rPr>
            </w:pPr>
            <w:r w:rsidRPr="00C41002">
              <w:rPr>
                <w:rFonts w:ascii="Arial" w:hAnsi="Arial" w:cs="Arial"/>
              </w:rPr>
              <w:t>Negatif (-)</w:t>
            </w:r>
          </w:p>
        </w:tc>
      </w:tr>
    </w:tbl>
    <w:p w:rsidR="00525E94" w:rsidRPr="00B847AE" w:rsidRDefault="00525E94" w:rsidP="00525E94">
      <w:pPr>
        <w:spacing w:after="0" w:line="240" w:lineRule="auto"/>
        <w:ind w:left="284"/>
        <w:jc w:val="both"/>
        <w:rPr>
          <w:rFonts w:ascii="Arial" w:hAnsi="Arial" w:cs="Arial"/>
          <w:lang w:val="sv-SE"/>
        </w:rPr>
      </w:pPr>
      <w:r>
        <w:rPr>
          <w:rFonts w:ascii="Arial" w:hAnsi="Arial" w:cs="Arial"/>
        </w:rPr>
        <w:lastRenderedPageBreak/>
        <w:t xml:space="preserve"> Tabel </w:t>
      </w:r>
      <w:r w:rsidRPr="00E22A11">
        <w:rPr>
          <w:rFonts w:ascii="Arial" w:hAnsi="Arial" w:cs="Arial"/>
          <w:lang w:val="sv-SE"/>
        </w:rPr>
        <w:t>5</w:t>
      </w:r>
      <w:r w:rsidRPr="00C41002">
        <w:rPr>
          <w:rFonts w:ascii="Arial" w:hAnsi="Arial" w:cs="Arial"/>
        </w:rPr>
        <w:t>. Hasil Analisa Rhodamin B pada Jajan</w:t>
      </w:r>
      <w:r>
        <w:rPr>
          <w:rFonts w:ascii="Arial" w:hAnsi="Arial" w:cs="Arial"/>
        </w:rPr>
        <w:t>an</w:t>
      </w:r>
      <w:r w:rsidRPr="00C41002">
        <w:rPr>
          <w:rFonts w:ascii="Arial" w:hAnsi="Arial" w:cs="Arial"/>
        </w:rPr>
        <w:t xml:space="preserve"> Kue Tok dan Kue</w:t>
      </w:r>
      <w:r>
        <w:rPr>
          <w:rFonts w:ascii="Arial" w:hAnsi="Arial" w:cs="Arial"/>
          <w:lang w:val="sv-SE"/>
        </w:rPr>
        <w:t xml:space="preserve"> Mutiara</w:t>
      </w:r>
    </w:p>
    <w:p w:rsidR="00525E94" w:rsidRDefault="00525E94" w:rsidP="00525E94">
      <w:pPr>
        <w:spacing w:line="240" w:lineRule="auto"/>
        <w:ind w:left="284"/>
        <w:jc w:val="both"/>
        <w:rPr>
          <w:rFonts w:ascii="Arial" w:hAnsi="Arial" w:cs="Arial"/>
        </w:rPr>
      </w:pPr>
    </w:p>
    <w:p w:rsidR="0093025D" w:rsidRPr="00525E94" w:rsidRDefault="00525E94" w:rsidP="00525E94">
      <w:pPr>
        <w:spacing w:line="360" w:lineRule="auto"/>
        <w:ind w:left="709" w:firstLine="589"/>
        <w:jc w:val="both"/>
        <w:rPr>
          <w:rFonts w:ascii="Arial" w:hAnsi="Arial" w:cs="Arial"/>
        </w:rPr>
      </w:pPr>
      <w:r>
        <w:rPr>
          <w:rFonts w:ascii="Arial" w:hAnsi="Arial" w:cs="Arial"/>
        </w:rPr>
        <w:t>Berdasarka</w:t>
      </w:r>
      <w:r w:rsidRPr="00E22A11">
        <w:rPr>
          <w:rFonts w:ascii="Arial" w:hAnsi="Arial" w:cs="Arial"/>
        </w:rPr>
        <w:t xml:space="preserve">n </w:t>
      </w:r>
      <w:r>
        <w:rPr>
          <w:rFonts w:ascii="Arial" w:hAnsi="Arial" w:cs="Arial"/>
        </w:rPr>
        <w:t xml:space="preserve">Tabel </w:t>
      </w:r>
      <w:r w:rsidRPr="00E22A11">
        <w:rPr>
          <w:rFonts w:ascii="Arial" w:hAnsi="Arial" w:cs="Arial"/>
        </w:rPr>
        <w:t>5</w:t>
      </w:r>
      <w:r w:rsidRPr="00C41002">
        <w:rPr>
          <w:rFonts w:ascii="Arial" w:hAnsi="Arial" w:cs="Arial"/>
        </w:rPr>
        <w:t xml:space="preserve"> diketahui bahwa seluruh sampel jajanan dinyatakan negatif dari kandungan Rhodamin B. Dengan warna yang cukup mencolok kue tok dan kue mutiara di beberapa pasar tradisional kota Malang yaitu pasar Blimbing, pasar Kasin, dan pasar Besar tidak terbukti menggunakan pewarna makanan Rhodamin B pewarna yang digunakan merupakan pewarna yang memang digunakan sebagai pewarna makanan.</w:t>
      </w:r>
    </w:p>
    <w:sectPr w:rsidR="0093025D" w:rsidRPr="00525E94" w:rsidSect="0057479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A1" w:rsidRDefault="000674A1" w:rsidP="00574794">
      <w:pPr>
        <w:spacing w:after="0" w:line="240" w:lineRule="auto"/>
      </w:pPr>
      <w:r>
        <w:separator/>
      </w:r>
    </w:p>
  </w:endnote>
  <w:endnote w:type="continuationSeparator" w:id="0">
    <w:p w:rsidR="000674A1" w:rsidRDefault="000674A1" w:rsidP="0057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4" w:rsidRDefault="00574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214731"/>
      <w:docPartObj>
        <w:docPartGallery w:val="Page Numbers (Bottom of Page)"/>
        <w:docPartUnique/>
      </w:docPartObj>
    </w:sdtPr>
    <w:sdtEndPr>
      <w:rPr>
        <w:noProof/>
      </w:rPr>
    </w:sdtEndPr>
    <w:sdtContent>
      <w:bookmarkStart w:id="1" w:name="_GoBack" w:displacedByCustomXml="prev"/>
      <w:bookmarkEnd w:id="1" w:displacedByCustomXml="prev"/>
      <w:p w:rsidR="00574794" w:rsidRDefault="00574794">
        <w:pPr>
          <w:pStyle w:val="Footer"/>
          <w:jc w:val="right"/>
        </w:pPr>
        <w:r>
          <w:fldChar w:fldCharType="begin"/>
        </w:r>
        <w:r>
          <w:instrText xml:space="preserve"> PAGE   \* MERGEFORMAT </w:instrText>
        </w:r>
        <w:r>
          <w:fldChar w:fldCharType="separate"/>
        </w:r>
        <w:r>
          <w:rPr>
            <w:noProof/>
          </w:rPr>
          <w:t>25</w:t>
        </w:r>
        <w:r>
          <w:rPr>
            <w:noProof/>
          </w:rPr>
          <w:fldChar w:fldCharType="end"/>
        </w:r>
      </w:p>
    </w:sdtContent>
  </w:sdt>
  <w:p w:rsidR="00574794" w:rsidRDefault="005747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4" w:rsidRDefault="00574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A1" w:rsidRDefault="000674A1" w:rsidP="00574794">
      <w:pPr>
        <w:spacing w:after="0" w:line="240" w:lineRule="auto"/>
      </w:pPr>
      <w:r>
        <w:separator/>
      </w:r>
    </w:p>
  </w:footnote>
  <w:footnote w:type="continuationSeparator" w:id="0">
    <w:p w:rsidR="000674A1" w:rsidRDefault="000674A1" w:rsidP="00574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4" w:rsidRDefault="00574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4" w:rsidRDefault="005747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794" w:rsidRDefault="00574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F533F"/>
    <w:multiLevelType w:val="hybridMultilevel"/>
    <w:tmpl w:val="F03846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4"/>
    <w:rsid w:val="000674A1"/>
    <w:rsid w:val="00525E94"/>
    <w:rsid w:val="00574794"/>
    <w:rsid w:val="009302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CC97-62E3-43AD-A6DA-BEED30D2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E94"/>
    <w:pPr>
      <w:ind w:left="720"/>
      <w:contextualSpacing/>
    </w:pPr>
  </w:style>
  <w:style w:type="table" w:styleId="TableGrid">
    <w:name w:val="Table Grid"/>
    <w:basedOn w:val="TableNormal"/>
    <w:uiPriority w:val="59"/>
    <w:rsid w:val="00525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794"/>
  </w:style>
  <w:style w:type="paragraph" w:styleId="Footer">
    <w:name w:val="footer"/>
    <w:basedOn w:val="Normal"/>
    <w:link w:val="FooterChar"/>
    <w:uiPriority w:val="99"/>
    <w:unhideWhenUsed/>
    <w:rsid w:val="0057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Suharmadi</dc:creator>
  <cp:keywords/>
  <dc:description/>
  <cp:lastModifiedBy>Suharmadi</cp:lastModifiedBy>
  <cp:revision>3</cp:revision>
  <dcterms:created xsi:type="dcterms:W3CDTF">2018-11-13T23:04:00Z</dcterms:created>
  <dcterms:modified xsi:type="dcterms:W3CDTF">2018-11-13T23:14:00Z</dcterms:modified>
</cp:coreProperties>
</file>