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E4" w:rsidRDefault="003242E4" w:rsidP="003242E4">
      <w:pPr>
        <w:pStyle w:val="Heading1"/>
        <w:tabs>
          <w:tab w:val="left" w:leader="dot" w:pos="7655"/>
        </w:tabs>
        <w:spacing w:line="240" w:lineRule="auto"/>
      </w:pPr>
      <w:bookmarkStart w:id="0" w:name="_Toc42171282"/>
      <w:bookmarkStart w:id="1" w:name="_Toc44021017"/>
      <w:bookmarkStart w:id="2" w:name="_GoBack"/>
      <w:bookmarkEnd w:id="2"/>
      <w:r>
        <w:t>DAFTAR TABEL</w:t>
      </w:r>
      <w:bookmarkEnd w:id="0"/>
      <w:bookmarkEnd w:id="1"/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1. Definisi Operasional Variabel</w:t>
      </w:r>
      <w:r>
        <w:rPr>
          <w:rFonts w:ascii="Arial" w:hAnsi="Arial"/>
        </w:rPr>
        <w:tab/>
        <w:t>29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2. Distribusi Hasil Pertanian</w:t>
      </w:r>
      <w:r>
        <w:rPr>
          <w:rFonts w:ascii="Arial" w:hAnsi="Arial"/>
        </w:rPr>
        <w:tab/>
        <w:t>41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3. Distribusi Hasil Sayur-sayuran</w:t>
      </w:r>
      <w:r>
        <w:rPr>
          <w:rFonts w:ascii="Arial" w:hAnsi="Arial"/>
        </w:rPr>
        <w:tab/>
        <w:t>42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4. Distribusi Hasil Buah-buahan</w:t>
      </w:r>
      <w:r>
        <w:rPr>
          <w:rFonts w:ascii="Arial" w:hAnsi="Arial"/>
        </w:rPr>
        <w:tab/>
        <w:t>42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5. Distribusi Peternakan</w:t>
      </w:r>
      <w:r>
        <w:rPr>
          <w:rFonts w:ascii="Arial" w:hAnsi="Arial"/>
        </w:rPr>
        <w:tab/>
        <w:t>42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6. Distribusi Hasil Peternakan</w:t>
      </w:r>
      <w:r>
        <w:rPr>
          <w:rFonts w:ascii="Arial" w:hAnsi="Arial"/>
        </w:rPr>
        <w:tab/>
        <w:t>43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7. Jenis Kegiatan Masyarakat dan Frekuensi Kegiatan</w:t>
      </w:r>
      <w:r>
        <w:rPr>
          <w:rFonts w:ascii="Arial" w:hAnsi="Arial"/>
        </w:rPr>
        <w:tab/>
        <w:t>44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8. Sarana Kesehatan</w:t>
      </w:r>
      <w:r>
        <w:rPr>
          <w:rFonts w:ascii="Arial" w:hAnsi="Arial"/>
        </w:rPr>
        <w:tab/>
        <w:t>44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9. Tenaga Kesehatan</w:t>
      </w:r>
      <w:r>
        <w:rPr>
          <w:rFonts w:ascii="Arial" w:hAnsi="Arial"/>
        </w:rPr>
        <w:tab/>
        <w:t>44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10. Sarana Pendidikan Formal</w:t>
      </w:r>
      <w:r>
        <w:rPr>
          <w:rFonts w:ascii="Arial" w:hAnsi="Arial"/>
        </w:rPr>
        <w:tab/>
        <w:t>45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11. Prevalensi Penyakit Enam Bulan Terakhir</w:t>
      </w:r>
      <w:r>
        <w:rPr>
          <w:rFonts w:ascii="Arial" w:hAnsi="Arial"/>
        </w:rPr>
        <w:tab/>
        <w:t>45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Tabel 12. Distribusi Responden Berdasarkan Usia</w:t>
      </w:r>
      <w:r>
        <w:rPr>
          <w:rFonts w:ascii="Arial" w:hAnsi="Arial"/>
        </w:rPr>
        <w:tab/>
        <w:t>47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13. Distribusi Responden Berdasarkan Pendidikan Terakhir</w:t>
      </w:r>
      <w:r>
        <w:rPr>
          <w:rFonts w:ascii="Arial" w:hAnsi="Arial"/>
        </w:rPr>
        <w:tab/>
        <w:t>47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14. Distribusi Responden Berdasarkan Tingkat Keaktifan</w:t>
      </w:r>
      <w:r>
        <w:rPr>
          <w:rFonts w:ascii="Arial" w:hAnsi="Arial"/>
        </w:rPr>
        <w:tab/>
        <w:t>48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15. Distribusi Responden Berdasarkan Pengetahuan Sebelum dan Sesudah Intervensi</w:t>
      </w:r>
      <w:r>
        <w:rPr>
          <w:rFonts w:ascii="Arial" w:hAnsi="Arial"/>
        </w:rPr>
        <w:tab/>
        <w:t>51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16. Hasil Uji Wilcoxon Perbedaan Pengetahuan Sebelum dan Sesudah Pemberian Intervensi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17. Rata-rata Nilai Pengetahuan Berdasarkan Nilai Kuesioner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18. Distribusi Responden Berdasarkan Sikap Sebelum dan Sesudah Intervensi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19. Hasil Uji Wilcoxon Perbedaan Sikap Sebelum dan Sesudah Pemberian Intervensi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20. Rata-rata Nilai Sikap Berdasarkan Nilai Kuesioner</w:t>
      </w:r>
      <w:r>
        <w:rPr>
          <w:rFonts w:ascii="Arial" w:hAnsi="Arial"/>
        </w:rPr>
        <w:tab/>
        <w:t>61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21. Distribusi Responden Berdasarkan Kterampilan Sebelum dan Sesudah Intervensi</w:t>
      </w:r>
      <w:r>
        <w:rPr>
          <w:rFonts w:ascii="Arial" w:hAnsi="Arial"/>
        </w:rPr>
        <w:tab/>
        <w:t>64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22. Hasil Uji Wilcoxon Perbedaan Keterampilan Sebelum dan Sesudah Pemberian Intervensi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23. Rata-rata Nilai Keterampilan Berdasarkan Nilai Kuesioner</w:t>
      </w:r>
      <w:r>
        <w:rPr>
          <w:rFonts w:ascii="Arial" w:hAnsi="Arial"/>
        </w:rPr>
        <w:tab/>
        <w:t>67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24. Distribusi Posyandu Berdasarkan Partisipasi Masyarakat (D/S) Sebelum dan sesudah Intervensi</w:t>
      </w:r>
      <w:r>
        <w:rPr>
          <w:rFonts w:ascii="Arial" w:hAnsi="Arial"/>
        </w:rPr>
        <w:tab/>
        <w:t>70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Tabel 25. Hasil Uji Wilcoxon Perbedaan Partisipasi Masyarakat Sebelum dan Sesudah Pemberian Intervensi</w:t>
      </w:r>
      <w:r>
        <w:rPr>
          <w:rFonts w:ascii="Arial" w:hAnsi="Arial"/>
        </w:rPr>
        <w:tab/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26. Distribusi Posyandu Berdasarkan Kelangsungan Penimbangan (D/K) Sebelum dan sesudah Intervensi</w:t>
      </w:r>
      <w:r>
        <w:rPr>
          <w:rFonts w:ascii="Arial" w:hAnsi="Arial"/>
        </w:rPr>
        <w:tab/>
        <w:t>73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Tabel 27. Hasil Uji Wilcoxon Perbedaan Kelangsungan Penimbangan Sebelum dan Sesudah Pemberian Intervensi</w:t>
      </w:r>
    </w:p>
    <w:p w:rsidR="003242E4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Tabel 28. Hasil Hitung rumus </w:t>
      </w:r>
      <w:r>
        <w:rPr>
          <w:rFonts w:ascii="Arial" w:hAnsi="Arial"/>
          <w:i/>
          <w:iCs/>
        </w:rPr>
        <w:t xml:space="preserve">Progress </w:t>
      </w:r>
      <w:r>
        <w:rPr>
          <w:rFonts w:ascii="Arial" w:hAnsi="Arial"/>
        </w:rPr>
        <w:t>Berdasarkan Partisipasi Masyarakat (D/S)</w:t>
      </w:r>
      <w:r>
        <w:rPr>
          <w:rFonts w:ascii="Arial" w:hAnsi="Arial"/>
        </w:rPr>
        <w:tab/>
        <w:t>78</w:t>
      </w:r>
    </w:p>
    <w:p w:rsidR="003242E4" w:rsidRPr="003A3F2A" w:rsidRDefault="003242E4" w:rsidP="003242E4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Tabel 29. Hasil Hitung rumus </w:t>
      </w:r>
      <w:r>
        <w:rPr>
          <w:rFonts w:ascii="Arial" w:hAnsi="Arial"/>
          <w:i/>
          <w:iCs/>
        </w:rPr>
        <w:t xml:space="preserve">Progress </w:t>
      </w:r>
      <w:r>
        <w:rPr>
          <w:rFonts w:ascii="Arial" w:hAnsi="Arial"/>
        </w:rPr>
        <w:t>Berdasarkan Kelangsungan Penimbangan (D/K)</w:t>
      </w:r>
      <w:r>
        <w:rPr>
          <w:rFonts w:ascii="Arial" w:hAnsi="Arial"/>
        </w:rPr>
        <w:tab/>
        <w:t>78</w:t>
      </w:r>
    </w:p>
    <w:p w:rsidR="00932991" w:rsidRDefault="00D40168" w:rsidP="003242E4">
      <w:pPr>
        <w:tabs>
          <w:tab w:val="left" w:leader="dot" w:pos="7655"/>
        </w:tabs>
        <w:spacing w:line="240" w:lineRule="auto"/>
      </w:pPr>
    </w:p>
    <w:sectPr w:rsidR="00932991" w:rsidSect="009042AF">
      <w:footerReference w:type="default" r:id="rId6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68" w:rsidRDefault="00D40168" w:rsidP="00C356BD">
      <w:pPr>
        <w:spacing w:after="0" w:line="240" w:lineRule="auto"/>
      </w:pPr>
      <w:r>
        <w:separator/>
      </w:r>
    </w:p>
  </w:endnote>
  <w:endnote w:type="continuationSeparator" w:id="0">
    <w:p w:rsidR="00D40168" w:rsidRDefault="00D40168" w:rsidP="00C3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294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6BD" w:rsidRDefault="00C356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2A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356BD" w:rsidRDefault="00C35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68" w:rsidRDefault="00D40168" w:rsidP="00C356BD">
      <w:pPr>
        <w:spacing w:after="0" w:line="240" w:lineRule="auto"/>
      </w:pPr>
      <w:r>
        <w:separator/>
      </w:r>
    </w:p>
  </w:footnote>
  <w:footnote w:type="continuationSeparator" w:id="0">
    <w:p w:rsidR="00D40168" w:rsidRDefault="00D40168" w:rsidP="00C35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E4"/>
    <w:rsid w:val="003242E4"/>
    <w:rsid w:val="009042AF"/>
    <w:rsid w:val="00C356BD"/>
    <w:rsid w:val="00D01B78"/>
    <w:rsid w:val="00D40168"/>
    <w:rsid w:val="00D61D83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5686-ED6C-4BBD-8AAF-9D643C0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2E4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2E4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35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BD"/>
  </w:style>
  <w:style w:type="paragraph" w:styleId="Footer">
    <w:name w:val="footer"/>
    <w:basedOn w:val="Normal"/>
    <w:link w:val="FooterChar"/>
    <w:uiPriority w:val="99"/>
    <w:unhideWhenUsed/>
    <w:rsid w:val="00C35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3</cp:revision>
  <dcterms:created xsi:type="dcterms:W3CDTF">2020-08-12T00:12:00Z</dcterms:created>
  <dcterms:modified xsi:type="dcterms:W3CDTF">2020-08-19T09:31:00Z</dcterms:modified>
</cp:coreProperties>
</file>