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23" w:rsidRPr="00386861" w:rsidRDefault="00366583" w:rsidP="00366583">
      <w:pPr>
        <w:tabs>
          <w:tab w:val="left" w:pos="1276"/>
          <w:tab w:val="center" w:pos="3968"/>
          <w:tab w:val="left" w:pos="6513"/>
        </w:tabs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id-ID"/>
        </w:rPr>
        <w:pict>
          <v:rect id="_x0000_s1026" style="position:absolute;margin-left:370.5pt;margin-top:-51.55pt;width:27.65pt;height:25.1pt;z-index:251658240;mso-position-horizontal-relative:text;mso-position-vertical-relative:text" strokecolor="white [3212]"/>
        </w:pict>
      </w:r>
      <w:r w:rsidR="00FF5623" w:rsidRPr="00386861">
        <w:rPr>
          <w:rFonts w:ascii="Times New Roman" w:hAnsi="Times New Roman"/>
          <w:b/>
          <w:sz w:val="24"/>
          <w:szCs w:val="24"/>
        </w:rPr>
        <w:t>BAB V</w:t>
      </w:r>
      <w:r>
        <w:rPr>
          <w:rFonts w:ascii="Times New Roman" w:hAnsi="Times New Roman"/>
          <w:b/>
          <w:sz w:val="24"/>
          <w:szCs w:val="24"/>
        </w:rPr>
        <w:tab/>
      </w:r>
    </w:p>
    <w:p w:rsidR="00FF5623" w:rsidRDefault="00FF5623" w:rsidP="00FF562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861">
        <w:rPr>
          <w:rFonts w:ascii="Times New Roman" w:hAnsi="Times New Roman"/>
          <w:b/>
          <w:sz w:val="24"/>
          <w:szCs w:val="24"/>
        </w:rPr>
        <w:t>PENUTUP</w:t>
      </w:r>
    </w:p>
    <w:p w:rsidR="00FF5623" w:rsidRPr="00386861" w:rsidRDefault="00FF5623" w:rsidP="00FF5623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5623" w:rsidRDefault="00FF5623" w:rsidP="00FF5623">
      <w:pPr>
        <w:pStyle w:val="ListParagraph"/>
        <w:numPr>
          <w:ilvl w:val="1"/>
          <w:numId w:val="1"/>
        </w:numPr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386861">
        <w:rPr>
          <w:rFonts w:ascii="Times New Roman" w:hAnsi="Times New Roman"/>
          <w:b/>
          <w:sz w:val="24"/>
          <w:szCs w:val="24"/>
        </w:rPr>
        <w:t>Kesimpulan</w:t>
      </w:r>
    </w:p>
    <w:p w:rsidR="00FF5623" w:rsidRDefault="00FF5623" w:rsidP="00FF5623">
      <w:pPr>
        <w:pStyle w:val="ListParagraph"/>
        <w:spacing w:after="0" w:line="48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9D4812">
        <w:rPr>
          <w:rFonts w:ascii="Times New Roman" w:hAnsi="Times New Roman"/>
          <w:sz w:val="24"/>
          <w:szCs w:val="24"/>
        </w:rPr>
        <w:t xml:space="preserve">     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Berdasarkan studi kasus asuhan keperawatan pada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Ny.J dan Ny W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dengan gangguan persepsi sensori: halusinasi pendengaran yang telah penulis lakukan, maka dapat ditarik kesimpulan sebagai berikut: </w:t>
      </w:r>
    </w:p>
    <w:p w:rsidR="00FF5623" w:rsidRDefault="00FF5623" w:rsidP="00FF5623">
      <w:pPr>
        <w:pStyle w:val="ListParagraph"/>
        <w:spacing w:after="0" w:line="48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Pada pengkajian, diperoleh data subyektif bahwa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Ny.W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mengalami halusinasi pendengaran,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Ny.W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mengatakan mendengar suara-suara untuk menyuruhnya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bersih bersih rumah sedangkan Ny.J menyuruh semua orang untuk keluar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Ny.W dan Ny 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mengikuti apa yang didengarnya. Suara itu datang sehari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2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kali, di waktu malam hari, dan muncul saat sendiri. Data obyektif yang didapatkan bahwa </w:t>
      </w:r>
      <w:r>
        <w:rPr>
          <w:rFonts w:ascii="Times New Roman" w:hAnsi="Times New Roman"/>
          <w:color w:val="000000"/>
          <w:sz w:val="24"/>
          <w:szCs w:val="24"/>
        </w:rPr>
        <w:t>Ny.W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tampak bingung, sering mondar-mandir, sering berbicara sendiri, konsentrasi kurang, dan koping maladaptif. 33 </w:t>
      </w:r>
    </w:p>
    <w:p w:rsidR="00FF5623" w:rsidRDefault="00FF5623" w:rsidP="00FF5623">
      <w:pPr>
        <w:pStyle w:val="ListParagraph"/>
        <w:spacing w:after="0" w:line="48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9D4812">
        <w:rPr>
          <w:rFonts w:ascii="Times New Roman" w:hAnsi="Times New Roman"/>
          <w:color w:val="000000"/>
          <w:sz w:val="24"/>
          <w:szCs w:val="24"/>
        </w:rPr>
        <w:t xml:space="preserve">2. Diagnosa keperawatan yang muncul saat dilakukan pengkajian pada </w:t>
      </w:r>
      <w:r>
        <w:rPr>
          <w:rFonts w:ascii="Times New Roman" w:hAnsi="Times New Roman"/>
          <w:color w:val="000000"/>
          <w:sz w:val="24"/>
          <w:szCs w:val="24"/>
        </w:rPr>
        <w:t>Ny.W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adalah gangguan persepsi sensori: halusinasi pendengaran. </w:t>
      </w:r>
    </w:p>
    <w:p w:rsidR="00FF5623" w:rsidRDefault="00366583" w:rsidP="00FF5623">
      <w:pPr>
        <w:pStyle w:val="ListParagraph"/>
        <w:spacing w:after="0" w:line="48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id-ID" w:eastAsia="id-ID"/>
        </w:rPr>
        <w:pict>
          <v:rect id="_x0000_s1027" style="position:absolute;left:0;text-align:left;margin-left:184pt;margin-top:174.15pt;width:36.85pt;height:23.45pt;z-index:251659264" strokecolor="white [3212]">
            <v:textbox>
              <w:txbxContent>
                <w:p w:rsidR="00366583" w:rsidRDefault="00366583">
                  <w:r>
                    <w:t>132</w:t>
                  </w:r>
                </w:p>
              </w:txbxContent>
            </v:textbox>
          </v:rect>
        </w:pic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3. Rencana keperawatan yang dilakukan penulis pada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yaitu dengan tujuan umum agar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dapat mengontrol halusinasi yang dialaminya. Intervensi juga dilakukan dengan lima tujuan khusus, diantarannya: tujuan khusus 1 yaitu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dapat membina hubungan saling percaya, tujuan khusus 2 yaitu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dapat mengenal halusinasi, tujuan khusus 3 yaitu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dapat melatih 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lastRenderedPageBreak/>
        <w:t xml:space="preserve">mengontrol halusinasinya dengan melatih cara menghardik halusinasi, bercakap-cakap dengan orang lain, dan mengalihkan halusinasinya dengan beraktivitas secara terjadwal, tujuan khusus yaitu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dapat dukungan keluarga dalam mengontrol halusinasi, dan tujuan khusus 5 yaitu </w:t>
      </w:r>
      <w:r w:rsidR="00FF5623">
        <w:rPr>
          <w:rFonts w:ascii="Times New Roman" w:hAnsi="Times New Roman"/>
          <w:color w:val="000000"/>
          <w:sz w:val="24"/>
          <w:szCs w:val="24"/>
        </w:rPr>
        <w:t>Ny.W dan Ny.J</w:t>
      </w:r>
      <w:r w:rsidR="00FF5623" w:rsidRPr="009D4812">
        <w:rPr>
          <w:rFonts w:ascii="Times New Roman" w:hAnsi="Times New Roman"/>
          <w:color w:val="000000"/>
          <w:sz w:val="24"/>
          <w:szCs w:val="24"/>
        </w:rPr>
        <w:t xml:space="preserve"> dapat memanfaatkan obat untuk mengontrol halusinasi.</w:t>
      </w:r>
    </w:p>
    <w:p w:rsidR="00FF5623" w:rsidRPr="00F81767" w:rsidRDefault="00FF5623" w:rsidP="00FF5623">
      <w:pPr>
        <w:spacing w:after="0" w:line="48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F81767">
        <w:rPr>
          <w:rFonts w:ascii="Times New Roman" w:hAnsi="Times New Roman"/>
          <w:color w:val="000000"/>
          <w:sz w:val="24"/>
          <w:szCs w:val="24"/>
        </w:rPr>
        <w:t xml:space="preserve">4. Tindakan keperawatan yang dilakukan penulis selama 3 hari kepada Ny.W dan Ny.J. Ny.W dan Ny.J mampu melaksanakan strategi pelaksanaan 1 sampai 3 yaitu Ny.W dan Ny.J telah mampu mengenal halusinasinya, Ny.W dan Ny.J mampu mengontrol halusinasinya dengan cara menghardik, bercakap-cakap dengan orang lain, dan melakukan aktivitas secara terjadwal. </w:t>
      </w:r>
    </w:p>
    <w:p w:rsidR="00FF5623" w:rsidRDefault="00FF5623" w:rsidP="00FF5623">
      <w:pPr>
        <w:pStyle w:val="ListParagraph"/>
        <w:spacing w:after="0" w:line="480" w:lineRule="auto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9D4812">
        <w:rPr>
          <w:rFonts w:ascii="Times New Roman" w:hAnsi="Times New Roman"/>
          <w:color w:val="000000"/>
          <w:sz w:val="24"/>
          <w:szCs w:val="24"/>
        </w:rPr>
        <w:t xml:space="preserve">5. Evaluasi tindakan yang dilakukan penulis sampai pada strategi pelaksanaan 3. </w:t>
      </w:r>
      <w:r>
        <w:rPr>
          <w:rFonts w:ascii="Times New Roman" w:hAnsi="Times New Roman"/>
          <w:color w:val="000000"/>
          <w:sz w:val="24"/>
          <w:szCs w:val="24"/>
        </w:rPr>
        <w:t>Ny.W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berhasil dalam mengenal halusinasinya dan berhasil mengontrol halusinasinya dengan menghardik, bercakap-cakap bersama orang lain, dan melakukan aktivitas terjadwal. Evaluasi sudah dilakukan penulis sesuai keadaan klien dan kekurangan penulis tidak bisa mencapai batas maksimal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>.</w:t>
      </w:r>
    </w:p>
    <w:p w:rsidR="00FF5623" w:rsidRDefault="00FF5623" w:rsidP="00FF5623">
      <w:pPr>
        <w:pStyle w:val="ListParagraph"/>
        <w:spacing w:after="0" w:line="48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 </w:t>
      </w:r>
      <w:r w:rsidRPr="00386861">
        <w:rPr>
          <w:rFonts w:ascii="Times New Roman" w:hAnsi="Times New Roman"/>
          <w:b/>
          <w:sz w:val="24"/>
          <w:szCs w:val="24"/>
        </w:rPr>
        <w:t>Saran</w:t>
      </w:r>
    </w:p>
    <w:p w:rsidR="00FF5623" w:rsidRPr="00386861" w:rsidRDefault="00FF5623" w:rsidP="00FF5623">
      <w:pPr>
        <w:pStyle w:val="ListParagraph"/>
        <w:spacing w:after="0" w:line="480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Dari hasil kesimpulan di atas maka peneliti mampu memberikan beberapa saran, diantaranya:</w:t>
      </w:r>
    </w:p>
    <w:p w:rsidR="00FF5623" w:rsidRPr="00386861" w:rsidRDefault="00FF5623" w:rsidP="00FF5623">
      <w:pPr>
        <w:pStyle w:val="ListParagraph"/>
        <w:numPr>
          <w:ilvl w:val="0"/>
          <w:numId w:val="2"/>
        </w:num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Bagi Lahan Praktek</w:t>
      </w:r>
    </w:p>
    <w:p w:rsidR="00FF5623" w:rsidRPr="00386861" w:rsidRDefault="00FF5623" w:rsidP="00FF5623">
      <w:p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Bagi institusi kesehatan, dihara</w:t>
      </w:r>
      <w:r>
        <w:rPr>
          <w:rFonts w:ascii="Times New Roman" w:hAnsi="Times New Roman"/>
          <w:sz w:val="24"/>
          <w:szCs w:val="24"/>
        </w:rPr>
        <w:t xml:space="preserve">pkan khususnya Puskesmas Ampelgading, Kec. Ampelgading, </w:t>
      </w:r>
      <w:r w:rsidRPr="00386861">
        <w:rPr>
          <w:rFonts w:ascii="Times New Roman" w:hAnsi="Times New Roman"/>
          <w:sz w:val="24"/>
          <w:szCs w:val="24"/>
        </w:rPr>
        <w:t xml:space="preserve">Kabupaten Malang memberi </w:t>
      </w:r>
      <w:r w:rsidRPr="00386861">
        <w:rPr>
          <w:rFonts w:ascii="Times New Roman" w:hAnsi="Times New Roman"/>
          <w:sz w:val="24"/>
          <w:szCs w:val="24"/>
        </w:rPr>
        <w:lastRenderedPageBreak/>
        <w:t>pelayanan yang optimal</w:t>
      </w:r>
      <w:r>
        <w:rPr>
          <w:rFonts w:ascii="Times New Roman" w:hAnsi="Times New Roman"/>
          <w:sz w:val="24"/>
          <w:szCs w:val="24"/>
        </w:rPr>
        <w:t>, komperhensif, holistic</w:t>
      </w:r>
      <w:r w:rsidRPr="00386861">
        <w:rPr>
          <w:rFonts w:ascii="Times New Roman" w:hAnsi="Times New Roman"/>
          <w:sz w:val="24"/>
          <w:szCs w:val="24"/>
        </w:rPr>
        <w:t xml:space="preserve"> dan mempertahankan </w:t>
      </w:r>
      <w:r>
        <w:rPr>
          <w:rFonts w:ascii="Times New Roman" w:hAnsi="Times New Roman"/>
          <w:sz w:val="24"/>
          <w:szCs w:val="24"/>
        </w:rPr>
        <w:t>pemberdayaan keluarga dan masyarakat serta klien dengan gangguan jiwa</w:t>
      </w:r>
      <w:r w:rsidRPr="00386861">
        <w:rPr>
          <w:rFonts w:ascii="Times New Roman" w:hAnsi="Times New Roman"/>
          <w:sz w:val="24"/>
          <w:szCs w:val="24"/>
        </w:rPr>
        <w:t>. Ditujukan sebagai bahan pengembangan untuk meningkatkan mutu Asuhan Keperawatan yang optimal khususn</w:t>
      </w:r>
      <w:r>
        <w:rPr>
          <w:rFonts w:ascii="Times New Roman" w:hAnsi="Times New Roman"/>
          <w:sz w:val="24"/>
          <w:szCs w:val="24"/>
        </w:rPr>
        <w:t>ya pada pasien Gangguan persepsi halusinasi pendengaran di lingkungan keluarga.</w:t>
      </w:r>
    </w:p>
    <w:p w:rsidR="00FF5623" w:rsidRPr="00386861" w:rsidRDefault="00FF5623" w:rsidP="00FF5623">
      <w:pPr>
        <w:pStyle w:val="ListParagraph"/>
        <w:numPr>
          <w:ilvl w:val="0"/>
          <w:numId w:val="2"/>
        </w:num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Bagi Institusi Pendidikan</w:t>
      </w:r>
    </w:p>
    <w:p w:rsidR="00FF5623" w:rsidRDefault="00FF5623" w:rsidP="00FF5623">
      <w:pPr>
        <w:pStyle w:val="ListParagraph"/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 w:rsidRPr="00386861">
        <w:rPr>
          <w:rFonts w:ascii="Times New Roman" w:hAnsi="Times New Roman"/>
          <w:sz w:val="24"/>
          <w:szCs w:val="24"/>
        </w:rPr>
        <w:t>Disarankan bagi institusi pendidikan keperawatan untuk mengembangkan dalam bidang ilmu Asuhan Keperawatan khususnya Keperawatan Jiwa</w:t>
      </w:r>
    </w:p>
    <w:p w:rsidR="00FF5623" w:rsidRPr="00386861" w:rsidRDefault="00FF5623" w:rsidP="00FF5623">
      <w:pPr>
        <w:pStyle w:val="ListParagraph"/>
        <w:numPr>
          <w:ilvl w:val="0"/>
          <w:numId w:val="2"/>
        </w:num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Bagi Peneliti Selanjutnya</w:t>
      </w:r>
    </w:p>
    <w:p w:rsidR="00FF5623" w:rsidRDefault="00FF5623" w:rsidP="00FF5623">
      <w:pPr>
        <w:pStyle w:val="ListParagraph"/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  <w:lang w:val="id-ID"/>
        </w:rPr>
      </w:pPr>
      <w:r w:rsidRPr="00386861">
        <w:rPr>
          <w:rFonts w:ascii="Times New Roman" w:hAnsi="Times New Roman"/>
          <w:sz w:val="24"/>
          <w:szCs w:val="24"/>
        </w:rPr>
        <w:t>Berdasarkan penelitian ini, penulis menyarankan  kepada peneliti selanjutnya untuk dilakukan penelitian lebih lanjut dan terperinci sehingga benar-benar dapat diketahui ada tidak</w:t>
      </w:r>
      <w:r>
        <w:rPr>
          <w:rFonts w:ascii="Times New Roman" w:hAnsi="Times New Roman"/>
          <w:sz w:val="24"/>
          <w:szCs w:val="24"/>
        </w:rPr>
        <w:t>nya perbedaan dari hasil p</w:t>
      </w:r>
      <w:r>
        <w:rPr>
          <w:rFonts w:ascii="Times New Roman" w:hAnsi="Times New Roman"/>
          <w:sz w:val="24"/>
          <w:szCs w:val="24"/>
          <w:lang w:val="id-ID"/>
        </w:rPr>
        <w:t>ersepsi</w:t>
      </w:r>
      <w:r w:rsidRPr="00386861">
        <w:rPr>
          <w:rFonts w:ascii="Times New Roman" w:hAnsi="Times New Roman"/>
          <w:sz w:val="24"/>
          <w:szCs w:val="24"/>
        </w:rPr>
        <w:t>nya</w:t>
      </w:r>
      <w:r>
        <w:rPr>
          <w:rFonts w:ascii="Times New Roman" w:hAnsi="Times New Roman"/>
          <w:sz w:val="24"/>
          <w:szCs w:val="24"/>
        </w:rPr>
        <w:t>.</w:t>
      </w:r>
    </w:p>
    <w:p w:rsidR="00FF5623" w:rsidRPr="00386861" w:rsidRDefault="00FF5623" w:rsidP="00FF5623">
      <w:pPr>
        <w:pStyle w:val="ListParagraph"/>
        <w:numPr>
          <w:ilvl w:val="0"/>
          <w:numId w:val="2"/>
        </w:numPr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 xml:space="preserve">Bagi klien </w:t>
      </w:r>
    </w:p>
    <w:p w:rsidR="00FF5623" w:rsidRPr="00386861" w:rsidRDefault="00FF5623" w:rsidP="00FF5623">
      <w:pPr>
        <w:pStyle w:val="ListParagraph"/>
        <w:spacing w:after="0" w:line="480" w:lineRule="auto"/>
        <w:ind w:left="900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 xml:space="preserve">Diharapkan untuk klien, dalam proses penelitian ini mampu memberikan hasil yang memuaskan dalam proses terapi dan guna mempercepat proses penyembuhannya. </w:t>
      </w:r>
    </w:p>
    <w:p w:rsidR="00FF5623" w:rsidRDefault="00FF5623" w:rsidP="00FF5623">
      <w:pPr>
        <w:jc w:val="both"/>
      </w:pPr>
    </w:p>
    <w:sectPr w:rsidR="00FF5623" w:rsidSect="00366583">
      <w:headerReference w:type="default" r:id="rId7"/>
      <w:pgSz w:w="11906" w:h="16838"/>
      <w:pgMar w:top="1701" w:right="1701" w:bottom="1701" w:left="2268" w:header="709" w:footer="709" w:gutter="0"/>
      <w:pgNumType w:start="13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02" w:rsidRDefault="00777B02" w:rsidP="00366583">
      <w:pPr>
        <w:spacing w:after="0" w:line="240" w:lineRule="auto"/>
      </w:pPr>
      <w:r>
        <w:separator/>
      </w:r>
    </w:p>
  </w:endnote>
  <w:endnote w:type="continuationSeparator" w:id="1">
    <w:p w:rsidR="00777B02" w:rsidRDefault="00777B02" w:rsidP="0036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02" w:rsidRDefault="00777B02" w:rsidP="00366583">
      <w:pPr>
        <w:spacing w:after="0" w:line="240" w:lineRule="auto"/>
      </w:pPr>
      <w:r>
        <w:separator/>
      </w:r>
    </w:p>
  </w:footnote>
  <w:footnote w:type="continuationSeparator" w:id="1">
    <w:p w:rsidR="00777B02" w:rsidRDefault="00777B02" w:rsidP="00366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14487"/>
      <w:docPartObj>
        <w:docPartGallery w:val="Page Numbers (Top of Page)"/>
        <w:docPartUnique/>
      </w:docPartObj>
    </w:sdtPr>
    <w:sdtContent>
      <w:p w:rsidR="00366583" w:rsidRDefault="00366583">
        <w:pPr>
          <w:pStyle w:val="Header"/>
          <w:jc w:val="right"/>
        </w:pPr>
        <w:fldSimple w:instr=" PAGE   \* MERGEFORMAT ">
          <w:r>
            <w:rPr>
              <w:noProof/>
            </w:rPr>
            <w:t>133</w:t>
          </w:r>
        </w:fldSimple>
      </w:p>
    </w:sdtContent>
  </w:sdt>
  <w:p w:rsidR="00366583" w:rsidRDefault="003665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105A"/>
    <w:multiLevelType w:val="hybridMultilevel"/>
    <w:tmpl w:val="3EE0A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06B0"/>
    <w:multiLevelType w:val="multilevel"/>
    <w:tmpl w:val="97447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623"/>
    <w:rsid w:val="002766A4"/>
    <w:rsid w:val="00366583"/>
    <w:rsid w:val="00777B02"/>
    <w:rsid w:val="00B437F8"/>
    <w:rsid w:val="00FF5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6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623"/>
    <w:pPr>
      <w:spacing w:after="160" w:line="259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58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66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58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2018-08-09T16:29:00Z</dcterms:created>
  <dcterms:modified xsi:type="dcterms:W3CDTF">2018-08-09T20:26:00Z</dcterms:modified>
</cp:coreProperties>
</file>